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2281" w:after="0"/>
        <w:jc w:val="right"/>
      </w:pPr>
      <w:r>
        <w:rPr>
          <w:rFonts w:ascii="Times New Roman" w:hAnsi="Times New Roman"/>
          <w:b/>
          <w:sz w:val="24"/>
        </w:rPr>
        <w:t>Autor: Juliano Cardona</w:t>
        <w:br/>
      </w:r>
      <w:r>
        <w:rPr>
          <w:rFonts w:ascii="Times New Roman" w:hAnsi="Times New Roman"/>
          <w:b/>
          <w:sz w:val="24"/>
        </w:rPr>
        <w:t>C.I.: 32.281.199</w:t>
        <w:br/>
      </w:r>
      <w:r>
        <w:rPr>
          <w:rFonts w:ascii="Times New Roman" w:hAnsi="Times New Roman"/>
          <w:b/>
          <w:sz w:val="24"/>
        </w:rPr>
        <w:br/>
      </w:r>
      <w:r>
        <w:rPr>
          <w:rFonts w:ascii="Times New Roman" w:hAnsi="Times New Roman"/>
          <w:b/>
          <w:sz w:val="24"/>
        </w:rPr>
        <w:t>Tutor Industrial: 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 Lic. Carlos Mendoza</w:t>
      </w:r>
    </w:p>
    <w:p>
      <w:pPr>
        <w:spacing w:line="276" w:lineRule="auto" w:before="929" w:after="0"/>
        <w:jc w:val="center"/>
      </w:pPr>
      <w:r>
        <w:rPr>
          <w:rFonts w:ascii="Times New Roman" w:hAnsi="Times New Roman"/>
          <w:sz w:val="24"/>
        </w:rPr>
        <w:t>El Tigre, julio de 2026</w:t>
      </w:r>
    </w:p>
    <w:p>
      <w:pPr>
        <w:sectPr>
          <w:footerReference w:type="default" r:id="rId11"/>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2281" w:after="0"/>
        <w:jc w:val="right"/>
      </w:pPr>
      <w:r>
        <w:rPr>
          <w:rFonts w:ascii="Times New Roman" w:hAnsi="Times New Roman"/>
          <w:b/>
          <w:sz w:val="24"/>
        </w:rPr>
        <w:t>Autor: Juliano Cardona</w:t>
        <w:br/>
      </w:r>
      <w:r>
        <w:rPr>
          <w:rFonts w:ascii="Times New Roman" w:hAnsi="Times New Roman"/>
          <w:b/>
          <w:sz w:val="24"/>
        </w:rPr>
        <w:t>C.I.: 32.281.199</w:t>
        <w:br/>
      </w:r>
      <w:r>
        <w:rPr>
          <w:rFonts w:ascii="Times New Roman" w:hAnsi="Times New Roman"/>
          <w:b/>
          <w:sz w:val="24"/>
        </w:rPr>
        <w:br/>
      </w:r>
      <w:r>
        <w:rPr>
          <w:rFonts w:ascii="Times New Roman" w:hAnsi="Times New Roman"/>
          <w:b/>
          <w:sz w:val="24"/>
        </w:rPr>
        <w:t>Tutor Industrial: 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 Lic. Carlos Mendoza</w:t>
      </w:r>
    </w:p>
    <w:p>
      <w:pPr>
        <w:spacing w:line="276" w:lineRule="auto" w:before="92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DEDICATORIA</w:t>
      </w:r>
    </w:p>
    <w:p>
      <w:pPr>
        <w:sectPr>
          <w:footerReference w:type="default" r:id="rId13"/>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AGRADECIMIENTOS</w:t>
      </w:r>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RESUMEN</w:t>
      </w:r>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19"/>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iii</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t>iv</w:t>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t>v</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vii</w:t>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viii</w:t>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ix</w:t>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t>1</w:t>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t>2</w:t>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t>2</w:t>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t>2</w:t>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t>2</w:t>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t>3</w:t>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t>3</w:t>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t>3</w:t>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t>3</w:t>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t>3</w:t>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t>4</w:t>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t>5</w:t>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t>5</w:t>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t>5</w:t>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t>5</w:t>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t>5</w:t>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t>6</w:t>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t>7</w:t>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t>7</w:t>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t>8</w:t>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t>8</w:t>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t>10</w:t>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t>10</w:t>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t>10</w:t>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t>11</w:t>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t>12</w:t>
      </w:r>
    </w:p>
    <w:p>
      <w:pPr>
        <w:sectPr>
          <w:footerReference w:type="default" r:id="rId2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LISTA DE CUADROS</w:t>
      </w:r>
    </w:p>
    <w:p>
      <w:pPr>
        <w:sectPr>
          <w:footerReference w:type="default" r:id="rId21"/>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t>5</w:t>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w:t>
        <w:tab/>
        <w:t>6</w:t>
      </w:r>
    </w:p>
    <w:p>
      <w:pPr>
        <w:sectPr>
          <w:footerReference w:type="default" r:id="rId2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LISTA DE GRÁFICOS</w:t>
      </w:r>
    </w:p>
    <w:p>
      <w:pPr>
        <w:sectPr>
          <w:footerReference w:type="default" r:id="rId23"/>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t>3</w:t>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t>4</w:t>
      </w:r>
    </w:p>
    <w:p>
      <w:pPr>
        <w:sectPr>
          <w:footerReference w:type="default" r:id="rId2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LISTA DE ANEXOS</w:t>
      </w:r>
    </w:p>
    <w:p>
      <w:pPr>
        <w:sectPr>
          <w:footerReference w:type="default" r:id="rId25"/>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t>13</w:t>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t>14</w:t>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t>15</w:t>
      </w:r>
    </w:p>
    <w:p>
      <w:pPr>
        <w:sectPr>
          <w:footerReference w:type="default" r:id="rId2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INTRODUCCIÓN</w:t>
      </w:r>
    </w:p>
    <w:p>
      <w:pPr>
        <w:sectPr>
          <w:footerReference w:type="default" r:id="rId2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pPr>
        <w:spacing w:before="480"/>
        <w:jc w:val="center"/>
      </w:pPr>
      <w:r>
        <w:rPr>
          <w:rFonts w:ascii="Times New Roman" w:hAnsi="Times New Roman"/>
          <w:b/>
          <w:sz w:val="24"/>
        </w:rPr>
        <w:t>REALIDAD ORGANIZACIONAL</w:t>
      </w:r>
    </w:p>
    <w:p>
      <w:pPr>
        <w:sectPr>
          <w:footerReference w:type="default" r:id="rId29"/>
          <w:pgSz w:w="12240" w:h="15840"/>
          <w:pgMar w:top="2835" w:right="1701" w:bottom="1701" w:left="2268" w:header="720" w:footer="720" w:gutter="0"/>
          <w:cols w:space="720"/>
          <w:titlePg/>
          <w:docGrid w:linePitch="360"/>
        </w:sectPr>
      </w:pPr>
    </w:p>
    <w:p>
      <w:pPr>
        <w:spacing w:before="480" w:after="480" w:line="360" w:lineRule="auto"/>
        <w:jc w:val="left"/>
      </w:pPr>
      <w:r>
        <w:rPr>
          <w:rFonts w:ascii="Times New Roman" w:hAnsi="Times New Roman"/>
          <w:b/>
          <w:sz w:val="24"/>
        </w:rPr>
        <w:t>IDENTIFICACIÓN DE LA EMPRESA</w:t>
      </w:r>
    </w:p>
    <w:p>
      <w:pPr>
        <w:spacing w:line="360" w:lineRule="auto" w:after="0" w:before="0"/>
        <w:ind w:firstLine="709"/>
        <w:jc w:val="both"/>
      </w:pPr>
      <w:r>
        <w:rPr>
          <w:rFonts w:ascii="Times New Roman" w:hAnsi="Times New Roman"/>
          <w:i w:val="0"/>
          <w:sz w:val="24"/>
        </w:rPr>
        <w:t>La práctica profesional se desarrolla en la Empresa Mixta Petrolera Venangocupet, S.A., entidad filial de la Corporación Venezolana de Petróleo (CVP). Su actividad principal se centra en la exploración y producción primaria de hidrocarburos, operando bajo los lineamientos estratégicos de la División Ayacucho de la Faja Petrolífera del Orinoco.</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Empresa Mixta Petrolera Venangocupet, S.A.</w:t>
      </w:r>
    </w:p>
    <w:p>
      <w:pPr>
        <w:spacing w:before="240" w:after="240" w:line="360" w:lineRule="auto"/>
        <w:ind w:firstLine="709"/>
        <w:jc w:val="left"/>
      </w:pPr>
      <w:r>
        <w:rPr>
          <w:rFonts w:ascii="Times New Roman" w:hAnsi="Times New Roman"/>
          <w:b/>
          <w:i/>
          <w:sz w:val="24"/>
        </w:rPr>
        <w:t>1.1.2 Reseña histórica</w:t>
      </w:r>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pPr>
        <w:spacing w:before="240" w:after="240" w:line="360" w:lineRule="auto"/>
        <w:ind w:firstLine="709"/>
        <w:jc w:val="left"/>
      </w:pPr>
      <w:r>
        <w:rPr>
          <w:rFonts w:ascii="Times New Roman" w:hAnsi="Times New Roman"/>
          <w:b/>
          <w:i/>
          <w:sz w:val="24"/>
        </w:rPr>
        <w:t>1.1.3 Misión</w:t>
      </w:r>
    </w:p>
    <w:p>
      <w:pPr>
        <w:spacing w:line="360" w:lineRule="auto" w:after="0" w:before="0"/>
        <w:ind w:firstLine="709"/>
        <w:jc w:val="both"/>
      </w:pPr>
      <w:r>
        <w:rPr>
          <w:rFonts w:ascii="Times New Roman" w:hAnsi="Times New Roman"/>
          <w:i/>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pPr>
        <w:spacing w:before="240" w:after="240" w:line="360" w:lineRule="auto"/>
        <w:ind w:firstLine="709"/>
        <w:jc w:val="left"/>
      </w:pPr>
      <w:r>
        <w:rPr>
          <w:rFonts w:ascii="Times New Roman" w:hAnsi="Times New Roman"/>
          <w:b/>
          <w:i/>
          <w:sz w:val="24"/>
        </w:rPr>
        <w:t>1.1.4 Visión</w:t>
      </w:r>
    </w:p>
    <w:p>
      <w:pPr>
        <w:spacing w:line="360" w:lineRule="auto" w:after="0" w:before="0"/>
        <w:ind w:firstLine="709"/>
        <w:jc w:val="both"/>
      </w:pPr>
      <w:r>
        <w:rPr>
          <w:rFonts w:ascii="Times New Roman" w:hAnsi="Times New Roman"/>
          <w:i/>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pPr>
        <w:spacing w:before="240" w:after="240" w:line="360" w:lineRule="auto"/>
        <w:ind w:firstLine="709"/>
        <w:jc w:val="left"/>
      </w:pPr>
      <w:r>
        <w:rPr>
          <w:rFonts w:ascii="Times New Roman" w:hAnsi="Times New Roman"/>
          <w:b/>
          <w:i/>
          <w:sz w:val="24"/>
        </w:rPr>
        <w:t>1.1.5 Valores</w:t>
      </w:r>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pPr>
        <w:spacing w:before="240" w:after="240" w:line="360" w:lineRule="auto"/>
        <w:ind w:firstLine="709"/>
        <w:jc w:val="left"/>
      </w:pPr>
      <w:r>
        <w:rPr>
          <w:rFonts w:ascii="Times New Roman" w:hAnsi="Times New Roman"/>
          <w:b/>
          <w:i/>
          <w:sz w:val="24"/>
        </w:rPr>
        <w:t>1.1.6 Objetivos Organizacionales</w:t>
      </w:r>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Maximizar la recuperación eficiente y segura de las reservas de hidrocarburos asignadas.</w:t>
      </w:r>
    </w:p>
    <w:p>
      <w:pPr>
        <w:spacing w:line="360" w:lineRule="auto"/>
        <w:ind w:firstLine="709"/>
        <w:jc w:val="both"/>
      </w:pPr>
      <w:r>
        <w:rPr>
          <w:rFonts w:ascii="Times New Roman" w:hAnsi="Times New Roman"/>
          <w:sz w:val="24"/>
        </w:rPr>
        <w:t xml:space="preserve">2.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3. </w:t>
      </w:r>
      <w:r>
        <w:rPr>
          <w:rFonts w:ascii="Times New Roman" w:hAnsi="Times New Roman"/>
          <w:sz w:val="24"/>
        </w:rPr>
        <w:t>Garantizar la trazabilidad y el reporte oportuno de la información administrativa de la empresa.</w:t>
      </w:r>
    </w:p>
    <w:p>
      <w:pPr>
        <w:spacing w:before="240" w:after="240" w:line="360" w:lineRule="auto"/>
        <w:ind w:firstLine="709"/>
        <w:jc w:val="left"/>
      </w:pPr>
      <w:r>
        <w:rPr>
          <w:rFonts w:ascii="Times New Roman" w:hAnsi="Times New Roman"/>
          <w:b/>
          <w:i/>
          <w:sz w:val="24"/>
        </w:rPr>
        <w:t>1.1.7 Ubicación geográfica</w:t>
      </w:r>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pPr>
        <w:spacing w:before="240" w:after="240" w:line="360" w:lineRule="auto"/>
        <w:ind w:firstLine="709"/>
        <w:jc w:val="left"/>
      </w:pPr>
      <w:r>
        <w:rPr>
          <w:rFonts w:ascii="Times New Roman" w:hAnsi="Times New Roman"/>
          <w:b/>
          <w:i/>
          <w:sz w:val="24"/>
        </w:rPr>
        <w:t>1.1.8 Población de los trabajadores de la empresa</w:t>
      </w:r>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pPr>
        <w:spacing w:before="240" w:after="240" w:line="360" w:lineRule="auto"/>
        <w:ind w:firstLine="709"/>
        <w:jc w:val="left"/>
      </w:pPr>
      <w:r>
        <w:rPr>
          <w:rFonts w:ascii="Times New Roman" w:hAnsi="Times New Roman"/>
          <w:b/>
          <w:i/>
          <w:sz w:val="24"/>
        </w:rPr>
        <w:t>1.1.9 Estructura Organizativa</w:t>
      </w:r>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4320000" cy="3674391"/>
                    </a:xfrm>
                    <a:prstGeom prst="rect"/>
                  </pic:spPr>
                </pic:pic>
              </a:graphicData>
            </a:graphic>
          </wp:inline>
        </w:drawing>
      </w:r>
    </w:p>
    <w:p>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p>
    <w:p>
      <w:pPr>
        <w:spacing w:before="480"/>
        <w:jc w:val="center"/>
      </w:pPr>
      <w:r>
        <w:drawing>
          <wp:inline xmlns:a="http://schemas.openxmlformats.org/drawingml/2006/main" xmlns:pic="http://schemas.openxmlformats.org/drawingml/2006/picture">
            <wp:extent cx="4320000" cy="2880000"/>
            <wp:docPr id="2" name="Picture 2"/>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4320000" cy="2880000"/>
                    </a:xfrm>
                    <a:prstGeom prst="rect"/>
                  </pic:spPr>
                </pic:pic>
              </a:graphicData>
            </a:graphic>
          </wp:inline>
        </w:drawing>
      </w:r>
    </w:p>
    <w:p>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pPr>
        <w:spacing w:before="480"/>
        <w:jc w:val="center"/>
      </w:pPr>
      <w:r>
        <w:rPr>
          <w:rFonts w:ascii="Times New Roman" w:hAnsi="Times New Roman"/>
          <w:b/>
          <w:sz w:val="24"/>
        </w:rPr>
        <w:t>DIAGNÓSTICO SITUACIONAL</w:t>
      </w:r>
    </w:p>
    <w:p>
      <w:pPr>
        <w:sectPr>
          <w:footerReference w:type="default" r:id="rId31"/>
          <w:pgSz w:w="12240" w:h="15840"/>
          <w:pgMar w:top="2835" w:right="1701" w:bottom="1701" w:left="2268" w:header="720" w:footer="720" w:gutter="0"/>
          <w:cols w:space="720"/>
          <w:titlePg/>
          <w:docGrid w:linePitch="360"/>
        </w:sectPr>
      </w:pPr>
    </w:p>
    <w:p>
      <w:pPr>
        <w:spacing w:before="480" w:after="480" w:line="360" w:lineRule="auto"/>
        <w:jc w:val="left"/>
      </w:pPr>
      <w:r>
        <w:rPr>
          <w:rFonts w:ascii="Times New Roman" w:hAnsi="Times New Roman"/>
          <w:b/>
          <w:sz w:val="24"/>
        </w:rPr>
        <w:t>Identificación de la Situación Problemática</w:t>
      </w:r>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pPr>
        <w:spacing w:before="480" w:after="480" w:line="360" w:lineRule="auto"/>
        <w:jc w:val="left"/>
      </w:pPr>
      <w:r>
        <w:rPr>
          <w:rFonts w:ascii="Times New Roman" w:hAnsi="Times New Roman"/>
          <w:b/>
          <w:sz w:val="24"/>
        </w:rPr>
        <w:t>Planificación integral de objetivos</w:t>
      </w:r>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del ciclo de los expedientes y evaluación de fallas en las hojas de cálculo.</w:t>
            </w:r>
          </w:p>
        </w:tc>
        <w:tc>
          <w:tcPr>
            <w:tcW w:w="1701" w:type="dxa"/>
            <w:shd w:val="clear" w:color="auto" w:fill="FFFFFF"/>
          </w:tcPr>
          <w:p>
            <w:pPr>
              <w:spacing w:before="60" w:after="60" w:line="240" w:lineRule="auto"/>
              <w:jc w:val="both"/>
            </w:pPr>
            <w:r>
              <w:rPr>
                <w:rFonts w:ascii="Times New Roman" w:hAnsi="Times New Roman"/>
                <w:b w:val="0"/>
                <w:color w:val="000000"/>
                <w:sz w:val="20"/>
              </w:rPr>
              <w:t>Cuaderno de notas, registros de Excel, mapeo in situ.</w:t>
            </w:r>
          </w:p>
        </w:tc>
        <w:tc>
          <w:tcPr>
            <w:tcW w:w="1984" w:type="dxa"/>
            <w:shd w:val="clear" w:color="auto" w:fill="FFFFFF"/>
          </w:tcPr>
          <w:p>
            <w:pPr>
              <w:spacing w:before="60" w:after="60" w:line="240" w:lineRule="auto"/>
              <w:jc w:val="both"/>
            </w:pPr>
            <w:r>
              <w:rPr>
                <w:rFonts w:ascii="Times New Roman" w:hAnsi="Times New Roman"/>
                <w:b w:val="0"/>
                <w:color w:val="000000"/>
                <w:sz w:val="20"/>
              </w:rPr>
              <w:t>Diagnóstico técnico y detección de cuellos de botella.</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2551"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reglas de validación.</w:t>
            </w:r>
          </w:p>
        </w:tc>
        <w:tc>
          <w:tcPr>
            <w:tcW w:w="1701" w:type="dxa"/>
            <w:shd w:val="clear" w:color="auto" w:fill="D9E1F2"/>
          </w:tcPr>
          <w:p>
            <w:pPr>
              <w:spacing w:before="60" w:after="60" w:line="240" w:lineRule="auto"/>
              <w:jc w:val="both"/>
            </w:pPr>
            <w:r>
              <w:rPr>
                <w:rFonts w:ascii="Times New Roman" w:hAnsi="Times New Roman"/>
                <w:b w:val="0"/>
                <w:color w:val="000000"/>
                <w:sz w:val="20"/>
              </w:rPr>
              <w:t>Reuniones de planificación y formatos de requerimientos.</w:t>
            </w:r>
          </w:p>
        </w:tc>
        <w:tc>
          <w:tcPr>
            <w:tcW w:w="1984" w:type="dxa"/>
            <w:shd w:val="clear" w:color="auto" w:fill="D9E1F2"/>
          </w:tcPr>
          <w:p>
            <w:pPr>
              <w:spacing w:before="60" w:after="60" w:line="240" w:lineRule="auto"/>
              <w:jc w:val="both"/>
            </w:pPr>
            <w:r>
              <w:rPr>
                <w:rFonts w:ascii="Times New Roman" w:hAnsi="Times New Roman"/>
                <w:b w:val="0"/>
                <w:color w:val="000000"/>
                <w:sz w:val="20"/>
              </w:rPr>
              <w:t>Diccionario de datos e informe de especificaciones.</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2551"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en código HTML.</w:t>
            </w:r>
          </w:p>
        </w:tc>
        <w:tc>
          <w:tcPr>
            <w:tcW w:w="1701"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 web.</w:t>
            </w:r>
          </w:p>
        </w:tc>
        <w:tc>
          <w:tcPr>
            <w:tcW w:w="1984" w:type="dxa"/>
            <w:shd w:val="clear" w:color="auto" w:fill="FFFFFF"/>
          </w:tcPr>
          <w:p>
            <w:pPr>
              <w:spacing w:before="60" w:after="60" w:line="240" w:lineRule="auto"/>
              <w:jc w:val="both"/>
            </w:pPr>
            <w:r>
              <w:rPr>
                <w:rFonts w:ascii="Times New Roman" w:hAnsi="Times New Roman"/>
                <w:b w:val="0"/>
                <w:color w:val="000000"/>
                <w:sz w:val="20"/>
              </w:rPr>
              <w:t>Modelo relacional normalizado y maquetado de interfaz.</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2551"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701"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984" w:type="dxa"/>
            <w:shd w:val="clear" w:color="auto" w:fill="D9E1F2"/>
          </w:tcPr>
          <w:p>
            <w:pPr>
              <w:spacing w:before="60" w:after="60" w:line="240" w:lineRule="auto"/>
              <w:jc w:val="both"/>
            </w:pPr>
            <w:r>
              <w:rPr>
                <w:rFonts w:ascii="Times New Roman" w:hAnsi="Times New Roman"/>
                <w:b w:val="0"/>
                <w:color w:val="000000"/>
                <w:sz w:val="20"/>
              </w:rPr>
              <w:t>Aplicación de escritorio operativa y probada.</w:t>
            </w:r>
          </w:p>
        </w:tc>
      </w:tr>
    </w:tbl>
    <w:p/>
    <w:p>
      <w:pPr>
        <w:spacing w:before="480" w:after="480" w:line="360" w:lineRule="auto"/>
        <w:jc w:val="left"/>
      </w:pPr>
      <w:r>
        <w:rPr>
          <w:rFonts w:ascii="Times New Roman" w:hAnsi="Times New Roman"/>
          <w:b/>
          <w:sz w:val="24"/>
        </w:rPr>
        <w:t>Cronograma de actividades</w:t>
      </w:r>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ocho (8) semanas de duración de la pasantía:</w:t>
      </w:r>
    </w:p>
    <w:p>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p>
    <w:tbl>
      <w:tblPr>
        <w:tblStyle w:val="TableGrid"/>
        <w:tblW w:type="auto" w:w="0"/>
        <w:tblLook w:firstColumn="1" w:firstRow="1" w:lastColumn="0" w:lastRow="0" w:noHBand="0" w:noVBand="1" w:val="04A0"/>
        <w:tblLayout w:type="fixed"/>
      </w:tblPr>
      <w:tblGrid>
        <w:gridCol w:w="5386"/>
        <w:gridCol w:w="360"/>
        <w:gridCol w:w="360"/>
        <w:gridCol w:w="360"/>
        <w:gridCol w:w="360"/>
        <w:gridCol w:w="360"/>
        <w:gridCol w:w="360"/>
        <w:gridCol w:w="360"/>
        <w:gridCol w:w="360"/>
      </w:tblGrid>
      <w:tr>
        <w:tc>
          <w:tcPr>
            <w:tcW w:w="5386"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360" w:type="dxa"/>
            <w:shd w:val="clear" w:color="auto" w:fill="4472C4"/>
          </w:tcPr>
          <w:p>
            <w:pPr>
              <w:spacing w:before="60" w:after="60" w:line="240" w:lineRule="auto"/>
              <w:jc w:val="center"/>
            </w:pPr>
            <w:r>
              <w:rPr>
                <w:rFonts w:ascii="Times New Roman" w:hAnsi="Times New Roman"/>
                <w:b/>
                <w:color w:val="FFFFFF"/>
                <w:sz w:val="18"/>
              </w:rPr>
              <w:t>S1</w:t>
            </w:r>
          </w:p>
        </w:tc>
        <w:tc>
          <w:tcPr>
            <w:tcW w:w="360" w:type="dxa"/>
            <w:shd w:val="clear" w:color="auto" w:fill="4472C4"/>
          </w:tcPr>
          <w:p>
            <w:pPr>
              <w:spacing w:before="60" w:after="60" w:line="240" w:lineRule="auto"/>
              <w:jc w:val="center"/>
            </w:pPr>
            <w:r>
              <w:rPr>
                <w:rFonts w:ascii="Times New Roman" w:hAnsi="Times New Roman"/>
                <w:b/>
                <w:color w:val="FFFFFF"/>
                <w:sz w:val="18"/>
              </w:rPr>
              <w:t>S2</w:t>
            </w:r>
          </w:p>
        </w:tc>
        <w:tc>
          <w:tcPr>
            <w:tcW w:w="360" w:type="dxa"/>
            <w:shd w:val="clear" w:color="auto" w:fill="4472C4"/>
          </w:tcPr>
          <w:p>
            <w:pPr>
              <w:spacing w:before="60" w:after="60" w:line="240" w:lineRule="auto"/>
              <w:jc w:val="center"/>
            </w:pPr>
            <w:r>
              <w:rPr>
                <w:rFonts w:ascii="Times New Roman" w:hAnsi="Times New Roman"/>
                <w:b/>
                <w:color w:val="FFFFFF"/>
                <w:sz w:val="18"/>
              </w:rPr>
              <w:t>S3</w:t>
            </w:r>
          </w:p>
        </w:tc>
        <w:tc>
          <w:tcPr>
            <w:tcW w:w="360" w:type="dxa"/>
            <w:shd w:val="clear" w:color="auto" w:fill="4472C4"/>
          </w:tcPr>
          <w:p>
            <w:pPr>
              <w:spacing w:before="60" w:after="60" w:line="240" w:lineRule="auto"/>
              <w:jc w:val="center"/>
            </w:pPr>
            <w:r>
              <w:rPr>
                <w:rFonts w:ascii="Times New Roman" w:hAnsi="Times New Roman"/>
                <w:b/>
                <w:color w:val="FFFFFF"/>
                <w:sz w:val="18"/>
              </w:rPr>
              <w:t>S4</w:t>
            </w:r>
          </w:p>
        </w:tc>
        <w:tc>
          <w:tcPr>
            <w:tcW w:w="360" w:type="dxa"/>
            <w:shd w:val="clear" w:color="auto" w:fill="4472C4"/>
          </w:tcPr>
          <w:p>
            <w:pPr>
              <w:spacing w:before="60" w:after="60" w:line="240" w:lineRule="auto"/>
              <w:jc w:val="center"/>
            </w:pPr>
            <w:r>
              <w:rPr>
                <w:rFonts w:ascii="Times New Roman" w:hAnsi="Times New Roman"/>
                <w:b/>
                <w:color w:val="FFFFFF"/>
                <w:sz w:val="18"/>
              </w:rPr>
              <w:t>S5</w:t>
            </w:r>
          </w:p>
        </w:tc>
        <w:tc>
          <w:tcPr>
            <w:tcW w:w="360" w:type="dxa"/>
            <w:shd w:val="clear" w:color="auto" w:fill="4472C4"/>
          </w:tcPr>
          <w:p>
            <w:pPr>
              <w:spacing w:before="60" w:after="60" w:line="240" w:lineRule="auto"/>
              <w:jc w:val="center"/>
            </w:pPr>
            <w:r>
              <w:rPr>
                <w:rFonts w:ascii="Times New Roman" w:hAnsi="Times New Roman"/>
                <w:b/>
                <w:color w:val="FFFFFF"/>
                <w:sz w:val="18"/>
              </w:rPr>
              <w:t>S6</w:t>
            </w:r>
          </w:p>
        </w:tc>
        <w:tc>
          <w:tcPr>
            <w:tcW w:w="360" w:type="dxa"/>
            <w:shd w:val="clear" w:color="auto" w:fill="4472C4"/>
          </w:tcPr>
          <w:p>
            <w:pPr>
              <w:spacing w:before="60" w:after="60" w:line="240" w:lineRule="auto"/>
              <w:jc w:val="center"/>
            </w:pPr>
            <w:r>
              <w:rPr>
                <w:rFonts w:ascii="Times New Roman" w:hAnsi="Times New Roman"/>
                <w:b/>
                <w:color w:val="FFFFFF"/>
                <w:sz w:val="18"/>
              </w:rPr>
              <w:t>S7</w:t>
            </w:r>
          </w:p>
        </w:tc>
        <w:tc>
          <w:tcPr>
            <w:tcW w:w="360" w:type="dxa"/>
            <w:shd w:val="clear" w:color="auto" w:fill="4472C4"/>
          </w:tcPr>
          <w:p>
            <w:pPr>
              <w:spacing w:before="60" w:after="60" w:line="240" w:lineRule="auto"/>
              <w:jc w:val="center"/>
            </w:pPr>
            <w:r>
              <w:rPr>
                <w:rFonts w:ascii="Times New Roman" w:hAnsi="Times New Roman"/>
                <w:b/>
                <w:color w:val="FFFFFF"/>
                <w:sz w:val="18"/>
              </w:rPr>
              <w:t>S8</w:t>
            </w:r>
          </w:p>
        </w:tc>
      </w:tr>
      <w:tr>
        <w:tc>
          <w:tcPr>
            <w:tcW w:w="5386" w:type="dxa"/>
            <w:shd w:val="clear" w:color="auto" w:fill="FFFFFF"/>
          </w:tcPr>
          <w:p>
            <w:pPr>
              <w:spacing w:before="60" w:after="60" w:line="240" w:lineRule="auto"/>
              <w:jc w:val="both"/>
            </w:pPr>
            <w:r>
              <w:rPr>
                <w:rFonts w:ascii="Times New Roman" w:hAnsi="Times New Roman"/>
                <w:b w:val="0"/>
                <w:color w:val="000000"/>
                <w:sz w:val="20"/>
              </w:rPr>
              <w:t>Diagnóstico del flujo documental y debilidades del Excel.</w:t>
            </w:r>
          </w:p>
        </w:tc>
        <w:tc>
          <w:tcPr>
            <w:tcW w:w="360" w:type="dxa"/>
            <w:shd w:val="clear" w:color="auto" w:fill="70AD47"/>
          </w:tcPr>
          <w:p>
            <w:pPr>
              <w:spacing w:before="60" w:after="60" w:line="240" w:lineRule="auto"/>
              <w:jc w:val="center"/>
            </w:pPr>
            <w:r>
              <w:rPr>
                <w:rFonts w:ascii="Times New Roman" w:hAnsi="Times New Roman"/>
                <w:b w:val="0"/>
                <w:color w:val="FFFFFF"/>
                <w:sz w:val="18"/>
              </w:rPr>
              <w:t>✓</w:t>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r>
      <w:tr>
        <w:tc>
          <w:tcPr>
            <w:tcW w:w="5386" w:type="dxa"/>
            <w:shd w:val="clear" w:color="auto" w:fill="D9E1F2"/>
          </w:tcPr>
          <w:p>
            <w:pPr>
              <w:spacing w:before="60" w:after="60" w:line="240" w:lineRule="auto"/>
              <w:jc w:val="both"/>
            </w:pPr>
            <w:r>
              <w:rPr>
                <w:rFonts w:ascii="Times New Roman" w:hAnsi="Times New Roman"/>
                <w:b w:val="0"/>
                <w:color w:val="000000"/>
                <w:sz w:val="20"/>
              </w:rPr>
              <w:t>Diseño del modelo relacional y diccionario de datos.</w:t>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70AD47"/>
          </w:tcPr>
          <w:p>
            <w:pPr>
              <w:spacing w:before="60" w:after="60" w:line="240" w:lineRule="auto"/>
              <w:jc w:val="center"/>
            </w:pPr>
            <w:r>
              <w:rPr>
                <w:rFonts w:ascii="Times New Roman" w:hAnsi="Times New Roman"/>
                <w:b w:val="0"/>
                <w:color w:val="FFFFFF"/>
                <w:sz w:val="18"/>
              </w:rPr>
              <w:t>✓</w:t>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r>
      <w:tr>
        <w:tc>
          <w:tcPr>
            <w:tcW w:w="5386" w:type="dxa"/>
            <w:shd w:val="clear" w:color="auto" w:fill="FFFFFF"/>
          </w:tcPr>
          <w:p>
            <w:pPr>
              <w:spacing w:before="60" w:after="60" w:line="240" w:lineRule="auto"/>
              <w:jc w:val="both"/>
            </w:pPr>
            <w:r>
              <w:rPr>
                <w:rFonts w:ascii="Times New Roman" w:hAnsi="Times New Roman"/>
                <w:b w:val="0"/>
                <w:color w:val="000000"/>
                <w:sz w:val="20"/>
              </w:rPr>
              <w:t>Despliegue de la DB en SQLite y maquetado lógico.</w:t>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70AD47"/>
          </w:tcPr>
          <w:p>
            <w:pPr>
              <w:spacing w:before="60" w:after="60" w:line="240" w:lineRule="auto"/>
              <w:jc w:val="center"/>
            </w:pPr>
            <w:r>
              <w:rPr>
                <w:rFonts w:ascii="Times New Roman" w:hAnsi="Times New Roman"/>
                <w:b w:val="0"/>
                <w:color w:val="FFFFFF"/>
                <w:sz w:val="18"/>
              </w:rPr>
              <w:t>✓</w:t>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r>
      <w:tr>
        <w:tc>
          <w:tcPr>
            <w:tcW w:w="5386" w:type="dxa"/>
            <w:shd w:val="clear" w:color="auto" w:fill="D9E1F2"/>
          </w:tcPr>
          <w:p>
            <w:pPr>
              <w:spacing w:before="60" w:after="60" w:line="240" w:lineRule="auto"/>
              <w:jc w:val="both"/>
            </w:pPr>
            <w:r>
              <w:rPr>
                <w:rFonts w:ascii="Times New Roman" w:hAnsi="Times New Roman"/>
                <w:b w:val="0"/>
                <w:color w:val="000000"/>
                <w:sz w:val="20"/>
              </w:rPr>
              <w:t>Programación de interfaces gráficas mediante código HTML.</w:t>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70AD47"/>
          </w:tcPr>
          <w:p>
            <w:pPr>
              <w:spacing w:before="60" w:after="60" w:line="240" w:lineRule="auto"/>
              <w:jc w:val="center"/>
            </w:pPr>
            <w:r>
              <w:rPr>
                <w:rFonts w:ascii="Times New Roman" w:hAnsi="Times New Roman"/>
                <w:b w:val="0"/>
                <w:color w:val="FFFFFF"/>
                <w:sz w:val="18"/>
              </w:rPr>
              <w:t>✓</w:t>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r>
      <w:tr>
        <w:tc>
          <w:tcPr>
            <w:tcW w:w="5386" w:type="dxa"/>
            <w:shd w:val="clear" w:color="auto" w:fill="FFFFFF"/>
          </w:tcPr>
          <w:p>
            <w:pPr>
              <w:spacing w:before="60" w:after="60" w:line="240" w:lineRule="auto"/>
              <w:jc w:val="both"/>
            </w:pPr>
            <w:r>
              <w:rPr>
                <w:rFonts w:ascii="Times New Roman" w:hAnsi="Times New Roman"/>
                <w:b w:val="0"/>
                <w:color w:val="000000"/>
                <w:sz w:val="20"/>
              </w:rPr>
              <w:t>Empaquetado de la aplicación de escritorio usando Wails.</w:t>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70AD47"/>
          </w:tcPr>
          <w:p>
            <w:pPr>
              <w:spacing w:before="60" w:after="60" w:line="240" w:lineRule="auto"/>
              <w:jc w:val="center"/>
            </w:pPr>
            <w:r>
              <w:rPr>
                <w:rFonts w:ascii="Times New Roman" w:hAnsi="Times New Roman"/>
                <w:b w:val="0"/>
                <w:color w:val="FFFFFF"/>
                <w:sz w:val="18"/>
              </w:rPr>
              <w:t>✓</w:t>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r>
      <w:tr>
        <w:tc>
          <w:tcPr>
            <w:tcW w:w="5386" w:type="dxa"/>
            <w:shd w:val="clear" w:color="auto" w:fill="D9E1F2"/>
          </w:tcPr>
          <w:p>
            <w:pPr>
              <w:spacing w:before="60" w:after="60" w:line="240" w:lineRule="auto"/>
              <w:jc w:val="both"/>
            </w:pPr>
            <w:r>
              <w:rPr>
                <w:rFonts w:ascii="Times New Roman" w:hAnsi="Times New Roman"/>
                <w:b w:val="0"/>
                <w:color w:val="000000"/>
                <w:sz w:val="20"/>
              </w:rPr>
              <w:t>Integración con la base de datos y desarrollo de consultas.</w:t>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70AD47"/>
          </w:tcPr>
          <w:p>
            <w:pPr>
              <w:spacing w:before="60" w:after="60" w:line="240" w:lineRule="auto"/>
              <w:jc w:val="center"/>
            </w:pPr>
            <w:r>
              <w:rPr>
                <w:rFonts w:ascii="Times New Roman" w:hAnsi="Times New Roman"/>
                <w:b w:val="0"/>
                <w:color w:val="FFFFFF"/>
                <w:sz w:val="18"/>
              </w:rPr>
              <w:t>✓</w:t>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r>
      <w:tr>
        <w:tc>
          <w:tcPr>
            <w:tcW w:w="5386" w:type="dxa"/>
            <w:shd w:val="clear" w:color="auto" w:fill="FFFFFF"/>
          </w:tcPr>
          <w:p>
            <w:pPr>
              <w:spacing w:before="60" w:after="60" w:line="240" w:lineRule="auto"/>
              <w:jc w:val="both"/>
            </w:pPr>
            <w:r>
              <w:rPr>
                <w:rFonts w:ascii="Times New Roman" w:hAnsi="Times New Roman"/>
                <w:b w:val="0"/>
                <w:color w:val="000000"/>
                <w:sz w:val="20"/>
              </w:rPr>
              <w:t>Pruebas funcionales de trazabilidad y generación de reportes.</w:t>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FFFFFF"/>
          </w:tcPr>
          <w:p>
            <w:pPr>
              <w:spacing w:before="60" w:after="60" w:line="240" w:lineRule="auto"/>
              <w:jc w:val="center"/>
            </w:pPr>
            <w:r>
              <w:rPr>
                <w:rFonts w:ascii="Times New Roman" w:hAnsi="Times New Roman"/>
                <w:b w:val="0"/>
                <w:color w:val="000000"/>
                <w:sz w:val="18"/>
              </w:rPr>
            </w:r>
          </w:p>
        </w:tc>
        <w:tc>
          <w:tcPr>
            <w:tcW w:w="360" w:type="dxa"/>
            <w:shd w:val="clear" w:color="auto" w:fill="70AD47"/>
          </w:tcPr>
          <w:p>
            <w:pPr>
              <w:spacing w:before="60" w:after="60" w:line="240" w:lineRule="auto"/>
              <w:jc w:val="center"/>
            </w:pPr>
            <w:r>
              <w:rPr>
                <w:rFonts w:ascii="Times New Roman" w:hAnsi="Times New Roman"/>
                <w:b w:val="0"/>
                <w:color w:val="FFFFFF"/>
                <w:sz w:val="18"/>
              </w:rPr>
              <w:t>✓</w:t>
            </w:r>
          </w:p>
        </w:tc>
        <w:tc>
          <w:tcPr>
            <w:tcW w:w="360" w:type="dxa"/>
            <w:shd w:val="clear" w:color="auto" w:fill="FFFFFF"/>
          </w:tcPr>
          <w:p>
            <w:pPr>
              <w:spacing w:before="60" w:after="60" w:line="240" w:lineRule="auto"/>
              <w:jc w:val="center"/>
            </w:pPr>
            <w:r>
              <w:rPr>
                <w:rFonts w:ascii="Times New Roman" w:hAnsi="Times New Roman"/>
                <w:b w:val="0"/>
                <w:color w:val="000000"/>
                <w:sz w:val="18"/>
              </w:rPr>
            </w:r>
          </w:p>
        </w:tc>
      </w:tr>
      <w:tr>
        <w:tc>
          <w:tcPr>
            <w:tcW w:w="5386" w:type="dxa"/>
            <w:shd w:val="clear" w:color="auto" w:fill="D9E1F2"/>
          </w:tcPr>
          <w:p>
            <w:pPr>
              <w:spacing w:before="60" w:after="60" w:line="240" w:lineRule="auto"/>
              <w:jc w:val="both"/>
            </w:pPr>
            <w:r>
              <w:rPr>
                <w:rFonts w:ascii="Times New Roman" w:hAnsi="Times New Roman"/>
                <w:b w:val="0"/>
                <w:color w:val="000000"/>
                <w:sz w:val="20"/>
              </w:rPr>
              <w:t>Consolidación técnica y redacción del informe final.</w:t>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D9E1F2"/>
          </w:tcPr>
          <w:p>
            <w:pPr>
              <w:spacing w:before="60" w:after="60" w:line="240" w:lineRule="auto"/>
              <w:jc w:val="center"/>
            </w:pPr>
            <w:r>
              <w:rPr>
                <w:rFonts w:ascii="Times New Roman" w:hAnsi="Times New Roman"/>
                <w:b w:val="0"/>
                <w:color w:val="000000"/>
                <w:sz w:val="18"/>
              </w:rPr>
            </w:r>
          </w:p>
        </w:tc>
        <w:tc>
          <w:tcPr>
            <w:tcW w:w="360"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pPr>
        <w:spacing w:before="480"/>
        <w:jc w:val="center"/>
      </w:pPr>
      <w:r>
        <w:rPr>
          <w:rFonts w:ascii="Times New Roman" w:hAnsi="Times New Roman"/>
          <w:b/>
          <w:sz w:val="24"/>
        </w:rPr>
        <w:t>MARCO TEÓRICO</w:t>
      </w:r>
    </w:p>
    <w:p>
      <w:pPr>
        <w:sectPr>
          <w:footerReference w:type="default" r:id="rId33"/>
          <w:pgSz w:w="12240" w:h="15840"/>
          <w:pgMar w:top="2835" w:right="1701" w:bottom="1701" w:left="2268" w:header="720" w:footer="720" w:gutter="0"/>
          <w:cols w:space="720"/>
          <w:titlePg/>
          <w:docGrid w:linePitch="360"/>
        </w:sectPr>
      </w:pPr>
    </w:p>
    <w:p>
      <w:pPr>
        <w:spacing w:before="480" w:after="480" w:line="360" w:lineRule="auto"/>
        <w:jc w:val="left"/>
      </w:pPr>
      <w:r>
        <w:rPr>
          <w:rFonts w:ascii="Times New Roman" w:hAnsi="Times New Roman"/>
          <w:b/>
          <w:sz w:val="24"/>
        </w:rPr>
        <w:t>Bases Teóricas Referenciales</w:t>
      </w:r>
    </w:p>
    <w:p>
      <w:pPr>
        <w:spacing w:line="360" w:lineRule="auto" w:after="0" w:before="0"/>
        <w:ind w:firstLine="709"/>
        <w:jc w:val="both"/>
      </w:pPr>
      <w:r>
        <w:rPr>
          <w:rFonts w:ascii="Times New Roman" w:hAnsi="Times New Roman"/>
          <w:i w:val="0"/>
          <w:sz w:val="24"/>
        </w:rPr>
        <w:t>Bases teóricas referenciales.</w:t>
      </w:r>
    </w:p>
    <w:p>
      <w:pPr>
        <w:sectPr>
          <w:footerReference w:type="default" r:id="rId3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pPr>
        <w:spacing w:before="480"/>
        <w:jc w:val="center"/>
      </w:pPr>
      <w:r>
        <w:rPr>
          <w:rFonts w:ascii="Times New Roman" w:hAnsi="Times New Roman"/>
          <w:b/>
          <w:sz w:val="24"/>
        </w:rPr>
        <w:t>ACTIVIDADES REALIZADAS</w:t>
      </w:r>
    </w:p>
    <w:p>
      <w:pPr>
        <w:sectPr>
          <w:footerReference w:type="default" r:id="rId35"/>
          <w:pgSz w:w="12240" w:h="15840"/>
          <w:pgMar w:top="2835" w:right="1701" w:bottom="1701" w:left="2268" w:header="720" w:footer="720" w:gutter="0"/>
          <w:cols w:space="720"/>
          <w:titlePg/>
          <w:docGrid w:linePitch="360"/>
        </w:sectPr>
      </w:pPr>
    </w:p>
    <w:p>
      <w:pPr>
        <w:spacing w:before="480" w:after="480" w:line="360" w:lineRule="auto"/>
        <w:jc w:val="left"/>
      </w:pPr>
      <w:r>
        <w:rPr>
          <w:rFonts w:ascii="Times New Roman" w:hAnsi="Times New Roman"/>
          <w:b/>
          <w:sz w:val="24"/>
        </w:rPr>
        <w:t>Descripción de Actividades Ejecutadas por Semana</w:t>
      </w:r>
    </w:p>
    <w:p>
      <w:pPr>
        <w:spacing w:line="360" w:lineRule="auto" w:after="0" w:before="0"/>
        <w:ind w:firstLine="709"/>
        <w:jc w:val="both"/>
      </w:pPr>
      <w:r>
        <w:rPr>
          <w:rFonts w:ascii="Times New Roman" w:hAnsi="Times New Roman"/>
          <w:i w:val="0"/>
          <w:sz w:val="24"/>
        </w:rPr>
        <w:t>Durante las ocho (8) semanas de práctica profesional, se ejecutaron fases sucesivas de análisis, diseño y desarrollo de software:</w:t>
      </w:r>
    </w:p>
    <w:p>
      <w:pPr>
        <w:spacing w:line="360" w:lineRule="auto"/>
        <w:ind w:firstLine="709"/>
        <w:jc w:val="both"/>
      </w:pPr>
      <w:r>
        <w:rPr>
          <w:rFonts w:ascii="Times New Roman" w:hAnsi="Times New Roman"/>
          <w:sz w:val="24"/>
        </w:rPr>
        <w:t xml:space="preserve">1. </w:t>
      </w:r>
      <w:r>
        <w:rPr>
          <w:rFonts w:ascii="Times New Roman" w:hAnsi="Times New Roman"/>
          <w:sz w:val="24"/>
        </w:rPr>
        <w:t>Semana 1: Diagnóstico técnico del flujo documental en el área de Presidencia y evaluación de las limitaciones operativas presentes en el registro con hojas de cálculo.</w:t>
      </w:r>
    </w:p>
    <w:p>
      <w:pPr>
        <w:spacing w:line="360" w:lineRule="auto"/>
        <w:ind w:firstLine="709"/>
        <w:jc w:val="both"/>
      </w:pPr>
      <w:r>
        <w:rPr>
          <w:rFonts w:ascii="Times New Roman" w:hAnsi="Times New Roman"/>
          <w:sz w:val="24"/>
        </w:rPr>
        <w:t xml:space="preserve">2. </w:t>
      </w:r>
      <w:r>
        <w:rPr>
          <w:rFonts w:ascii="Times New Roman" w:hAnsi="Times New Roman"/>
          <w:sz w:val="24"/>
        </w:rPr>
        <w:t>Semana 2: Diseño del modelo relacional de la base de datos, aplicación de reglas de normalización y elaboración del diccionario de datos definitivo.</w:t>
      </w:r>
    </w:p>
    <w:p>
      <w:pPr>
        <w:spacing w:line="360" w:lineRule="auto"/>
        <w:ind w:firstLine="709"/>
        <w:jc w:val="both"/>
      </w:pPr>
      <w:r>
        <w:rPr>
          <w:rFonts w:ascii="Times New Roman" w:hAnsi="Times New Roman"/>
          <w:sz w:val="24"/>
        </w:rPr>
        <w:t xml:space="preserve">3. </w:t>
      </w:r>
      <w:r>
        <w:rPr>
          <w:rFonts w:ascii="Times New Roman" w:hAnsi="Times New Roman"/>
          <w:sz w:val="24"/>
        </w:rPr>
        <w:t>Semana 3: Despliegue de la arquitectura de la base de datos relacional en el motor SQLite y evaluación preliminar de herramientas de diseño de formularios.</w:t>
      </w:r>
    </w:p>
    <w:p>
      <w:pPr>
        <w:spacing w:line="360" w:lineRule="auto"/>
        <w:ind w:firstLine="709"/>
        <w:jc w:val="both"/>
      </w:pPr>
      <w:r>
        <w:rPr>
          <w:rFonts w:ascii="Times New Roman" w:hAnsi="Times New Roman"/>
          <w:sz w:val="24"/>
        </w:rPr>
        <w:t xml:space="preserve">4. </w:t>
      </w:r>
      <w:r>
        <w:rPr>
          <w:rFonts w:ascii="Times New Roman" w:hAnsi="Times New Roman"/>
          <w:sz w:val="24"/>
        </w:rPr>
        <w:t>Semana 4: Diseño y estructuración de la interfaz gráfica de usuario utilizando etiquetas y estilos basados en código HTML.</w:t>
      </w:r>
    </w:p>
    <w:p>
      <w:pPr>
        <w:spacing w:line="360" w:lineRule="auto"/>
        <w:ind w:firstLine="709"/>
        <w:jc w:val="both"/>
      </w:pPr>
      <w:r>
        <w:rPr>
          <w:rFonts w:ascii="Times New Roman" w:hAnsi="Times New Roman"/>
          <w:sz w:val="24"/>
        </w:rPr>
        <w:t xml:space="preserve">5. </w:t>
      </w:r>
      <w:r>
        <w:rPr>
          <w:rFonts w:ascii="Times New Roman" w:hAnsi="Times New Roman"/>
          <w:sz w:val="24"/>
        </w:rPr>
        <w:t>Semana 5: Migración y empaquetado del entorno visual web hacia una aplicación de escritorio autónoma utilizando el framework moderno Wails.</w:t>
      </w:r>
    </w:p>
    <w:p>
      <w:pPr>
        <w:spacing w:line="360" w:lineRule="auto"/>
        <w:ind w:firstLine="709"/>
        <w:jc w:val="both"/>
      </w:pPr>
      <w:r>
        <w:rPr>
          <w:rFonts w:ascii="Times New Roman" w:hAnsi="Times New Roman"/>
          <w:sz w:val="24"/>
        </w:rPr>
        <w:t xml:space="preserve">6. </w:t>
      </w:r>
      <w:r>
        <w:rPr>
          <w:rFonts w:ascii="Times New Roman" w:hAnsi="Times New Roman"/>
          <w:sz w:val="24"/>
        </w:rPr>
        <w:t>Semana 6: Integración del sistema gráfico (Wails/HTML) con la base de datos local SQLite y programación de las consultas lógicas de entrada y salida.</w:t>
      </w:r>
    </w:p>
    <w:p>
      <w:pPr>
        <w:spacing w:line="360" w:lineRule="auto"/>
        <w:ind w:firstLine="709"/>
        <w:jc w:val="both"/>
      </w:pPr>
      <w:r>
        <w:rPr>
          <w:rFonts w:ascii="Times New Roman" w:hAnsi="Times New Roman"/>
          <w:sz w:val="24"/>
        </w:rPr>
        <w:t xml:space="preserve">7. </w:t>
      </w:r>
      <w:r>
        <w:rPr>
          <w:rFonts w:ascii="Times New Roman" w:hAnsi="Times New Roman"/>
          <w:sz w:val="24"/>
        </w:rPr>
        <w:t>Semana 7: Ejecución de pruebas de validación funcional, depuración de errores del código y verificación de los módulos automáticos de reportes gerenciales.</w:t>
      </w:r>
    </w:p>
    <w:p>
      <w:pPr>
        <w:spacing w:line="360" w:lineRule="auto"/>
        <w:ind w:firstLine="709"/>
        <w:jc w:val="both"/>
      </w:pPr>
      <w:r>
        <w:rPr>
          <w:rFonts w:ascii="Times New Roman" w:hAnsi="Times New Roman"/>
          <w:sz w:val="24"/>
        </w:rPr>
        <w:t xml:space="preserve">8. </w:t>
      </w:r>
      <w:r>
        <w:rPr>
          <w:rFonts w:ascii="Times New Roman" w:hAnsi="Times New Roman"/>
          <w:sz w:val="24"/>
        </w:rPr>
        <w:t>Semana 8: Elaboración de los manuales técnicos, estructuración final del código fuente y consolidación del informe académico de pasantías.</w:t>
      </w:r>
    </w:p>
    <w:p>
      <w:pPr>
        <w:sectPr>
          <w:footerReference w:type="default" r:id="rId3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pPr>
        <w:spacing w:before="480"/>
        <w:jc w:val="center"/>
      </w:pPr>
      <w:r>
        <w:rPr>
          <w:rFonts w:ascii="Times New Roman" w:hAnsi="Times New Roman"/>
          <w:b/>
          <w:sz w:val="24"/>
        </w:rPr>
        <w:t>CONCLUSIONES Y RECOMENDACIONES</w:t>
      </w:r>
    </w:p>
    <w:p>
      <w:pPr>
        <w:sectPr>
          <w:footerReference w:type="default" r:id="rId37"/>
          <w:pgSz w:w="12240" w:h="15840"/>
          <w:pgMar w:top="2835" w:right="1701" w:bottom="1701" w:left="2268" w:header="720" w:footer="720" w:gutter="0"/>
          <w:cols w:space="720"/>
          <w:titlePg/>
          <w:docGrid w:linePitch="360"/>
        </w:sectPr>
      </w:pPr>
    </w:p>
    <w:p>
      <w:pPr>
        <w:spacing w:before="480" w:after="480" w:line="360" w:lineRule="auto"/>
        <w:jc w:val="left"/>
      </w:pPr>
      <w:r>
        <w:rPr>
          <w:rFonts w:ascii="Times New Roman" w:hAnsi="Times New Roman"/>
          <w:b/>
          <w:sz w:val="24"/>
        </w:rPr>
        <w:t>Conclusiones</w:t>
      </w:r>
    </w:p>
    <w:p>
      <w:pPr>
        <w:spacing w:line="360" w:lineRule="auto"/>
        <w:ind w:firstLine="709"/>
        <w:jc w:val="both"/>
      </w:pPr>
      <w:r>
        <w:rPr>
          <w:rFonts w:ascii="Times New Roman" w:hAnsi="Times New Roman"/>
          <w:sz w:val="24"/>
        </w:rPr>
        <w:t xml:space="preserve">1. </w:t>
      </w:r>
      <w:r>
        <w:rPr>
          <w:rFonts w:ascii="Times New Roman" w:hAnsi="Times New Roman"/>
          <w:sz w:val="24"/>
        </w:rPr>
        <w:t>Se evidenció que la dependencia de procesos manuales sobre hojas de cálculo ralentiza el despacho de expedientes ejecutivos y propicia la inconsistencia de los registros ante flujos concurrentes.</w:t>
      </w:r>
    </w:p>
    <w:p>
      <w:pPr>
        <w:spacing w:line="360" w:lineRule="auto"/>
        <w:ind w:firstLine="709"/>
        <w:jc w:val="both"/>
      </w:pPr>
      <w:r>
        <w:rPr>
          <w:rFonts w:ascii="Times New Roman" w:hAnsi="Times New Roman"/>
          <w:sz w:val="24"/>
        </w:rPr>
        <w:t xml:space="preserve">2. </w:t>
      </w:r>
      <w:r>
        <w:rPr>
          <w:rFonts w:ascii="Times New Roman" w:hAnsi="Times New Roman"/>
          <w:sz w:val="24"/>
        </w:rPr>
        <w:t>El diseño lógico y físico de la base de datos relacional (SQLite) asegura la integridad y centralización de la información, resolviendo la duplicación de datos.</w:t>
      </w:r>
    </w:p>
    <w:p>
      <w:pPr>
        <w:spacing w:line="360" w:lineRule="auto"/>
        <w:ind w:firstLine="709"/>
        <w:jc w:val="both"/>
      </w:pPr>
      <w:r>
        <w:rPr>
          <w:rFonts w:ascii="Times New Roman" w:hAnsi="Times New Roman"/>
          <w:sz w:val="24"/>
        </w:rPr>
        <w:t xml:space="preserve">3. </w:t>
      </w:r>
      <w:r>
        <w:rPr>
          <w:rFonts w:ascii="Times New Roman" w:hAnsi="Times New Roman"/>
          <w:sz w:val="24"/>
        </w:rPr>
        <w:t>El uso de tecnologías web empaquetadas (Wails) para construir la interfaz de escritorio demostró ser una solución factible, ligera y altamente adaptada a la generación rápida de reportes gerenciales en Presidencia.</w:t>
      </w:r>
    </w:p>
    <w:p>
      <w:pPr>
        <w:spacing w:before="480" w:after="480" w:line="360" w:lineRule="auto"/>
        <w:jc w:val="left"/>
      </w:pPr>
      <w:r>
        <w:rPr>
          <w:rFonts w:ascii="Times New Roman" w:hAnsi="Times New Roman"/>
          <w:b/>
          <w:sz w:val="24"/>
        </w:rPr>
        <w:t>Recomendaciones</w:t>
      </w:r>
    </w:p>
    <w:p>
      <w:pPr>
        <w:spacing w:line="360" w:lineRule="auto"/>
        <w:ind w:firstLine="709"/>
        <w:jc w:val="both"/>
      </w:pPr>
      <w:r>
        <w:rPr>
          <w:rFonts w:ascii="Times New Roman" w:hAnsi="Times New Roman"/>
          <w:sz w:val="24"/>
        </w:rPr>
        <w:t xml:space="preserve">1. </w:t>
      </w:r>
      <w:r>
        <w:rPr>
          <w:rFonts w:ascii="Times New Roman" w:hAnsi="Times New Roman"/>
          <w:sz w:val="24"/>
        </w:rPr>
        <w:t>Ejecutar la transición progresiva del control de expedientes desde los libros de Excel hacia el nuevo entorno de software desarrollado.</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responsable del nodo de Presidencia en el uso de las nuevas interfaces de búsqueda y actualización de estatus.</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automáticas de respaldo para la base de datos (archivo .sqlite) a fin de garantizar la perennidad de la bitácora documental.</w:t>
      </w:r>
    </w:p>
    <w:p>
      <w:pPr>
        <w:sectPr>
          <w:footerReference w:type="default" r:id="rId3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REFERENCIAS</w:t>
      </w:r>
    </w:p>
    <w:p>
      <w:pPr>
        <w:sectPr>
          <w:footerReference w:type="default" r:id="rId39"/>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0"/>
          <w:type w:val="continuous"/>
          <w:pgSz w:w="12240" w:h="15840"/>
          <w:pgMar w:top="1701" w:right="1701" w:bottom="1701" w:left="2268" w:header="720" w:footer="720" w:gutter="0"/>
          <w:cols w:space="720"/>
          <w:titlePg/>
          <w:docGrid w:linePitch="360"/>
        </w:sectPr>
      </w:pPr>
    </w:p>
    <w:p>
      <w:pPr>
        <w:spacing w:before="3600"/>
        <w:jc w:val="center"/>
      </w:pPr>
      <w:r>
        <w:rPr>
          <w:rFonts w:ascii="Times New Roman" w:hAnsi="Times New Roman"/>
          <w:b/>
          <w:sz w:val="32"/>
        </w:rPr>
        <w:t>ANEXOS</w:t>
      </w:r>
    </w:p>
    <w:p>
      <w:pPr>
        <w:sectPr>
          <w:footerReference w:type="default" r:id="rId41"/>
          <w:pgSz w:w="12240" w:h="15840"/>
          <w:pgMar w:top="2835" w:right="1701" w:bottom="1701" w:left="2268" w:header="720" w:footer="720" w:gutter="0"/>
          <w:cols w:space="720"/>
          <w:titlePg/>
          <w:docGrid w:linePitch="360"/>
        </w:sectPr>
      </w:pPr>
    </w:p>
    <w:p>
      <w:pPr>
        <w:spacing w:before="0" w:after="480"/>
        <w:jc w:val="center"/>
      </w:pPr>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pPr>
        <w:spacing w:before="0" w:after="480"/>
        <w:jc w:val="center"/>
      </w:pPr>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pPr>
        <w:spacing w:before="0" w:after="480"/>
        <w:jc w:val="center"/>
      </w:pPr>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4"/>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oter" Target="footer10.xml"/><Relationship Id="rId21" Type="http://schemas.openxmlformats.org/officeDocument/2006/relationships/footer" Target="footer11.xml"/><Relationship Id="rId22" Type="http://schemas.openxmlformats.org/officeDocument/2006/relationships/footer" Target="footer12.xml"/><Relationship Id="rId23" Type="http://schemas.openxmlformats.org/officeDocument/2006/relationships/footer" Target="footer13.xml"/><Relationship Id="rId24" Type="http://schemas.openxmlformats.org/officeDocument/2006/relationships/footer" Target="footer14.xml"/><Relationship Id="rId25" Type="http://schemas.openxmlformats.org/officeDocument/2006/relationships/footer" Target="footer15.xml"/><Relationship Id="rId26" Type="http://schemas.openxmlformats.org/officeDocument/2006/relationships/footer" Target="footer16.xml"/><Relationship Id="rId27" Type="http://schemas.openxmlformats.org/officeDocument/2006/relationships/footer" Target="footer17.xml"/><Relationship Id="rId28" Type="http://schemas.openxmlformats.org/officeDocument/2006/relationships/footer" Target="footer18.xml"/><Relationship Id="rId29" Type="http://schemas.openxmlformats.org/officeDocument/2006/relationships/footer" Target="footer19.xml"/><Relationship Id="rId30" Type="http://schemas.openxmlformats.org/officeDocument/2006/relationships/footer" Target="footer20.xml"/><Relationship Id="rId31" Type="http://schemas.openxmlformats.org/officeDocument/2006/relationships/footer" Target="footer21.xml"/><Relationship Id="rId32" Type="http://schemas.openxmlformats.org/officeDocument/2006/relationships/footer" Target="footer22.xml"/><Relationship Id="rId33" Type="http://schemas.openxmlformats.org/officeDocument/2006/relationships/footer" Target="footer23.xml"/><Relationship Id="rId34" Type="http://schemas.openxmlformats.org/officeDocument/2006/relationships/footer" Target="footer24.xml"/><Relationship Id="rId35" Type="http://schemas.openxmlformats.org/officeDocument/2006/relationships/footer" Target="footer25.xml"/><Relationship Id="rId36" Type="http://schemas.openxmlformats.org/officeDocument/2006/relationships/footer" Target="footer26.xml"/><Relationship Id="rId37" Type="http://schemas.openxmlformats.org/officeDocument/2006/relationships/footer" Target="footer27.xml"/><Relationship Id="rId38" Type="http://schemas.openxmlformats.org/officeDocument/2006/relationships/footer" Target="footer28.xml"/><Relationship Id="rId39" Type="http://schemas.openxmlformats.org/officeDocument/2006/relationships/footer" Target="footer29.xml"/><Relationship Id="rId40" Type="http://schemas.openxmlformats.org/officeDocument/2006/relationships/footer" Target="footer30.xml"/><Relationship Id="rId41" Type="http://schemas.openxmlformats.org/officeDocument/2006/relationships/footer" Target="footer31.xml"/><Relationship Id="rId42" Type="http://schemas.openxmlformats.org/officeDocument/2006/relationships/footer" Target="footer32.xml"/><Relationship Id="rId43" Type="http://schemas.openxmlformats.org/officeDocument/2006/relationships/footer" Target="footer33.xml"/><Relationship Id="rId44"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