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06 al 10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Estructurar las causas de las fallas del departamento en un diagrama de Ishikawa y fundamentar conceptualmente el proyecto.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Clasificación de causas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Dividir las causas de retrasos en las categorías de métodos, herramientas o factor humano.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Block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Estructuración del Ishikawa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en papel la estructura del diagrama de espina de pescado (causas y efectos).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Lápiz, papel, regla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Digitalización del gráfico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Pasar a limpio el diagrama de espina de pescado usando herramientas de la computadora.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oficina, 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Lectura de manuales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libros de administración y control de compras para fundamentar conceptualmente la propuesta.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Manuales de administración, guías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Cierre de diagnóstico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Redactar la conclusión final del diagnóstico situacional del departamento para el informe.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Diagrama de Ishikawa digital y primer borrador del marco teórico del informe.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El diagrama causa-efecto quedó muy claro y adaptado a nuestra oficina. El soporte teórico recopilado es pertinente con lo exigido para el nivel técnico.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