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Transcribir las entrevistas y analizar las órdenes de compra anteriores para identificar los problemas principales.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Transcripción de notas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la computadora las respuestas obtenidas en las hojas de las entrevistas.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Acceso al archivo histórico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e identificar las carpetas de órdenes de compra del último trimestre en el archivo físico.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documentos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Cálculo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Calcular los días exactos transcurridos entre la solicitud del material y su compra definitiva.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Agrupación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Juntar en una lista las fallas similares como falta de cotizaciones o retraso de firmas.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una tabla de tiempos de respuesta históricos del proceso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entrevistas y tabla de tiempos históricos de órdenes de compra del último trimestre.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Buen trabajo de oficina. La pasante organizó las respuestas y el análisis de tiempos históricos, dejando en evidencia los cuellos de botella con ciertos proveedores.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