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el impacto de las deficiencias detectadas y consolidar las bases teóricas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conciliación y registro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y verificación de documentos de facturación.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incidencias y solicitudes pendientes para comparar tiempos de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impacto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los retrasos con problemas de trazabilidad y atención al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matriz de análisis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y revisar las bases teóricas y referencias utilizadas.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Análisis de impacto y Capítulo III en versión preliminar.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las actividades asignadas con responsabilidad, mostrando capacidad para relacionar las deficiencias identificadas con sus efectos sobre la trazabilidad y atención de las solicitudes, manteniendo además un buen desempeño en las labores administrativas.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