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1"/>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34"/>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5"/>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6"/>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7"/>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definitivo del control y trazabilidad de las solicitudes de servicio</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Memoria fotográfica de las actividades realizadas</w:t>
        <w:tab/>
      </w:r>
      <w:r>
        <w:rPr>
          <w:rFonts w:ascii="Times New Roman" w:hAnsi="Times New Roman"/>
          <w:b w:val="0"/>
          <w:sz w:val="24"/>
        </w:rPr>
        <w:fldChar w:fldCharType="begin"/>
        <w:instrText xml:space="preserve"> PAGEREF bm_anexoH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1"/>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2"/>
          <w:footerReference w:type="first" r:id="rId43"/>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El recorrido actual de afiliaciones e incidencias se representa en el flujograma AS-IS incorporado como Anexo C, el cual permite visualizar la transición de la información entre las áreas involucradas.</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(véase Anexo B).</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0" w:type="dxa"/>
            <w:shd w:val="clear" w:color="auto" w:fill="FFFFFF"/>
          </w:tcPr>
          <w:p>
            <w:pPr>
              <w:spacing w:before="20" w:after="20" w:line="240" w:lineRule="auto"/>
              <w:jc w:val="left"/>
            </w:pPr>
            <w:r>
              <w:rPr>
                <w:rFonts w:ascii="Times New Roman" w:hAnsi="Times New Roman"/>
                <w:b w:val="0"/>
                <w:color w:val="000000"/>
                <w:sz w:val="17"/>
              </w:rPr>
              <w:t>Proceso administrativo de gestión de solicitudes de servicio.</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recorrido de afiliaciones e incidencias desde Atención al Cliente hasta su seguimiento administrativo, describir las etapas y revisar la documentación utilizada.</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y análisis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Guía de observación, registros de solicitudes, comprobantes y documentos internos.</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Identificar las deficiencias y causas presentes en los mecanismos de control de las solicitudes de servicio, considerando su incidencia en los tiempos de respuesta, la trazabilidad de los casos y la atención al suscriptor.</w:t>
            </w:r>
          </w:p>
        </w:tc>
        <w:tc>
          <w:tcPr>
            <w:tcW w:w="1530" w:type="dxa"/>
            <w:shd w:val="clear" w:color="auto" w:fill="D9E1F2"/>
          </w:tcPr>
          <w:p>
            <w:pPr>
              <w:spacing w:before="20" w:after="20" w:line="240" w:lineRule="auto"/>
              <w:jc w:val="left"/>
            </w:pPr>
            <w:r>
              <w:rPr>
                <w:rFonts w:ascii="Times New Roman" w:hAnsi="Times New Roman"/>
                <w:b w:val="0"/>
                <w:color w:val="000000"/>
                <w:sz w:val="17"/>
              </w:rPr>
              <w:t>Deficiencias y causas que afectan el control administrativo de solicitudes.</w:t>
            </w:r>
          </w:p>
        </w:tc>
        <w:tc>
          <w:tcPr>
            <w:tcW w:w="1786" w:type="dxa"/>
            <w:shd w:val="clear" w:color="auto" w:fill="D9E1F2"/>
          </w:tcPr>
          <w:p>
            <w:pPr>
              <w:spacing w:before="20" w:after="20" w:line="240" w:lineRule="auto"/>
              <w:jc w:val="left"/>
            </w:pPr>
            <w:r>
              <w:rPr>
                <w:rFonts w:ascii="Times New Roman" w:hAnsi="Times New Roman"/>
                <w:b w:val="0"/>
                <w:color w:val="000000"/>
                <w:sz w:val="17"/>
              </w:rPr>
              <w:t>Aplicar entrevistas estructuradas al personal, revisar casos históricos, comparar tiempos de respuesta y elaborar un diagrama de Ishikawa con las causas identificadas.</w:t>
            </w:r>
          </w:p>
        </w:tc>
        <w:tc>
          <w:tcPr>
            <w:tcW w:w="1530" w:type="dxa"/>
            <w:shd w:val="clear" w:color="auto" w:fill="D9E1F2"/>
          </w:tcPr>
          <w:p>
            <w:pPr>
              <w:spacing w:before="20" w:after="20" w:line="240" w:lineRule="auto"/>
              <w:jc w:val="left"/>
            </w:pPr>
            <w:r>
              <w:rPr>
                <w:rFonts w:ascii="Times New Roman" w:hAnsi="Times New Roman"/>
                <w:b w:val="0"/>
                <w:color w:val="000000"/>
                <w:sz w:val="17"/>
              </w:rPr>
              <w:t>Entrevista estructurada, análisis documental, comparación de tiempos y diagrama causa-efecto.</w:t>
            </w:r>
          </w:p>
        </w:tc>
        <w:tc>
          <w:tcPr>
            <w:tcW w:w="1701" w:type="dxa"/>
            <w:shd w:val="clear" w:color="auto" w:fill="D9E1F2"/>
          </w:tcPr>
          <w:p>
            <w:pPr>
              <w:spacing w:before="20" w:after="20" w:line="240" w:lineRule="auto"/>
              <w:jc w:val="left"/>
            </w:pPr>
            <w:r>
              <w:rPr>
                <w:rFonts w:ascii="Times New Roman" w:hAnsi="Times New Roman"/>
                <w:b w:val="0"/>
                <w:color w:val="000000"/>
                <w:sz w:val="17"/>
              </w:rPr>
              <w:t>Guía de entrevista, registros históricos, reportes internos, hoja de cálculo y matriz de causas.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Formular mejoras al control administrativo de las solicitudes mediante un flujo estandarizado, formatos de registro, responsables por etapa e indicadores básicos de seguimiento.</w:t>
            </w:r>
          </w:p>
        </w:tc>
        <w:tc>
          <w:tcPr>
            <w:tcW w:w="1530" w:type="dxa"/>
            <w:shd w:val="clear" w:color="auto" w:fill="FFFFFF"/>
          </w:tcPr>
          <w:p>
            <w:pPr>
              <w:spacing w:before="20" w:after="20" w:line="240" w:lineRule="auto"/>
              <w:jc w:val="left"/>
            </w:pPr>
            <w:r>
              <w:rPr>
                <w:rFonts w:ascii="Times New Roman" w:hAnsi="Times New Roman"/>
                <w:b w:val="0"/>
                <w:color w:val="000000"/>
                <w:sz w:val="17"/>
              </w:rPr>
              <w:t>Mejoras al control administrativo de solicitudes.</w:t>
            </w:r>
          </w:p>
        </w:tc>
        <w:tc>
          <w:tcPr>
            <w:tcW w:w="1786" w:type="dxa"/>
            <w:shd w:val="clear" w:color="auto" w:fill="FFFFFF"/>
          </w:tcPr>
          <w:p>
            <w:pPr>
              <w:spacing w:before="20" w:after="20" w:line="240" w:lineRule="auto"/>
              <w:jc w:val="left"/>
            </w:pPr>
            <w:r>
              <w:rPr>
                <w:rFonts w:ascii="Times New Roman" w:hAnsi="Times New Roman"/>
                <w:b w:val="0"/>
                <w:color w:val="000000"/>
                <w:sz w:val="17"/>
              </w:rPr>
              <w:t>Diseñar el flujo estandarizado, formatos de registro, responsables por etapa e indicadores básicos de seguimiento; validar la propuesta con el tutor industrial.</w:t>
            </w:r>
          </w:p>
        </w:tc>
        <w:tc>
          <w:tcPr>
            <w:tcW w:w="1530" w:type="dxa"/>
            <w:shd w:val="clear" w:color="auto" w:fill="FFFFFF"/>
          </w:tcPr>
          <w:p>
            <w:pPr>
              <w:spacing w:before="20" w:after="20" w:line="240" w:lineRule="auto"/>
              <w:jc w:val="left"/>
            </w:pPr>
            <w:r>
              <w:rPr>
                <w:rFonts w:ascii="Times New Roman" w:hAnsi="Times New Roman"/>
                <w:b w:val="0"/>
                <w:color w:val="000000"/>
                <w:sz w:val="17"/>
              </w:rPr>
              <w:t>Diseño procedimental y validación técnica.</w:t>
            </w:r>
          </w:p>
        </w:tc>
        <w:tc>
          <w:tcPr>
            <w:tcW w:w="1701" w:type="dxa"/>
            <w:shd w:val="clear" w:color="auto" w:fill="FFFFFF"/>
          </w:tcPr>
          <w:p>
            <w:pPr>
              <w:spacing w:before="20" w:after="20" w:line="240" w:lineRule="auto"/>
              <w:jc w:val="left"/>
            </w:pPr>
            <w:r>
              <w:rPr>
                <w:rFonts w:ascii="Times New Roman" w:hAnsi="Times New Roman"/>
                <w:b w:val="0"/>
                <w:color w:val="000000"/>
                <w:sz w:val="17"/>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Control Administrativo</w:t>
      </w:r>
      <w:bookmarkEnd w:id="36"/>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240" w:after="24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240" w:after="24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H:</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Organización de los hallazgos del diagnóstico y elaboración del diagrama de Ishikawa para representar las causas relacionadas con procedimiento, comunicación, registro y seguimiento (véase Anexo B); inicio de la revisión de bases teóricas.</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D.</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formatos estandarizados para afiliaciones e incidencias y redacción del procedimiento de control que acompaña al flujo propuesto.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y validación de la propuesta de mejora con el tutor industrial, incorporación de observaciones y preparación del flujograma definitivo del proceso propuesto (véase Anexo A).</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spacing w:line="360" w:lineRule="auto"/>
        <w:ind w:firstLine="709"/>
        <w:jc w:val="both"/>
      </w:pPr>
      <w:r>
        <w:rPr>
          <w:rFonts w:ascii="Times New Roman" w:hAnsi="Times New Roman"/>
          <w:sz w:val="24"/>
        </w:rPr>
        <w:t xml:space="preserve">4. </w:t>
      </w:r>
      <w:r>
        <w:rPr>
          <w:rFonts w:ascii="Times New Roman" w:hAnsi="Times New Roman"/>
          <w:sz w:val="24"/>
        </w:rPr>
        <w:t>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keepNext/>
        <w:spacing w:before="240" w:after="0"/>
      </w:pPr>
      <w:r>
        <w:rPr>
          <w:rFonts w:ascii="Times New Roman" w:hAnsi="Times New Roman"/>
          <w:b/>
          <w:sz w:val="24"/>
        </w:rPr>
        <w:t>A la empresa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y la articulación entre los conocimientos adquiridos en la carrera y las situaciones administrativas observadas en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56"/>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7"/>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definitivo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9" name="Picture 9"/>
            <wp:cNvGraphicFramePr>
              <a:graphicFrameLocks noChangeAspect="1"/>
            </wp:cNvGraphicFramePr>
            <a:graphic>
              <a:graphicData uri="http://schemas.openxmlformats.org/drawingml/2006/picture">
                <pic:pic>
                  <pic:nvPicPr>
                    <pic:cNvPr id="0" name="ishikawa_amaal_solicitudes.png"/>
                    <pic:cNvPicPr/>
                  </pic:nvPicPr>
                  <pic:blipFill>
                    <a:blip r:embed="rId17"/>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0"/>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5" name="Picture 15"/>
            <wp:cNvGraphicFramePr>
              <a:graphicFrameLocks noChangeAspect="1"/>
            </wp:cNvGraphicFramePr>
            <a:graphic>
              <a:graphicData uri="http://schemas.openxmlformats.org/drawingml/2006/picture">
                <pic:pic>
                  <pic:nvPicPr>
                    <pic:cNvPr id="0" name="IMG-20260818-WA0007.jpg"/>
                    <pic:cNvPicPr/>
                  </pic:nvPicPr>
                  <pic:blipFill>
                    <a:blip r:embed="rId23"/>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8.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7" name="Picture 17"/>
            <wp:cNvGraphicFramePr>
              <a:graphicFrameLocks noChangeAspect="1"/>
            </wp:cNvGraphicFramePr>
            <a:graphic>
              <a:graphicData uri="http://schemas.openxmlformats.org/drawingml/2006/picture">
                <pic:pic>
                  <pic:nvPicPr>
                    <pic:cNvPr id="0" name="IMG-20260818-WA0009.jpg"/>
                    <pic:cNvPicPr/>
                  </pic:nvPicPr>
                  <pic:blipFill>
                    <a:blip r:embed="rId25"/>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8" name="Picture 18"/>
            <wp:cNvGraphicFramePr>
              <a:graphicFrameLocks noChangeAspect="1"/>
            </wp:cNvGraphicFramePr>
            <a:graphic>
              <a:graphicData uri="http://schemas.openxmlformats.org/drawingml/2006/picture">
                <pic:pic>
                  <pic:nvPicPr>
                    <pic:cNvPr id="0" name="IMG-20260818-WA0010.jpg"/>
                    <pic:cNvPicPr/>
                  </pic:nvPicPr>
                  <pic:blipFill>
                    <a:blip r:embed="rId26"/>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19" name="Picture 19"/>
            <wp:cNvGraphicFramePr>
              <a:graphicFrameLocks noChangeAspect="1"/>
            </wp:cNvGraphicFramePr>
            <a:graphic>
              <a:graphicData uri="http://schemas.openxmlformats.org/drawingml/2006/picture">
                <pic:pic>
                  <pic:nvPicPr>
                    <pic:cNvPr id="0" name="IMG-20260818-WA0011.jpg"/>
                    <pic:cNvPicPr/>
                  </pic:nvPicPr>
                  <pic:blipFill>
                    <a:blip r:embed="rId27"/>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2.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5.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6.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4"/>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footer" Target="footer13.xml"/><Relationship Id="rId44" Type="http://schemas.openxmlformats.org/officeDocument/2006/relationships/footer" Target="foot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footer" Target="footer17.xml"/><Relationship Id="rId48" Type="http://schemas.openxmlformats.org/officeDocument/2006/relationships/footer" Target="footer18.xml"/><Relationship Id="rId49" Type="http://schemas.openxmlformats.org/officeDocument/2006/relationships/footer" Target="footer19.xml"/><Relationship Id="rId50" Type="http://schemas.openxmlformats.org/officeDocument/2006/relationships/footer" Target="footer20.xml"/><Relationship Id="rId51" Type="http://schemas.openxmlformats.org/officeDocument/2006/relationships/footer" Target="footer21.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footer" Target="footer25.xml"/><Relationship Id="rId56" Type="http://schemas.openxmlformats.org/officeDocument/2006/relationships/footer" Target="footer26.xml"/><Relationship Id="rId57" Type="http://schemas.openxmlformats.org/officeDocument/2006/relationships/footer" Target="footer27.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footer" Target="footer30.xml"/><Relationship Id="rId61" Type="http://schemas.openxmlformats.org/officeDocument/2006/relationships/footer" Target="footer31.xml"/><Relationship Id="rId62" Type="http://schemas.openxmlformats.org/officeDocument/2006/relationships/footer" Target="footer32.xml"/><Relationship Id="rId63" Type="http://schemas.openxmlformats.org/officeDocument/2006/relationships/footer" Target="footer33.xml"/><Relationship Id="rId6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