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21"/>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PROPUESTA DE SIMPLIFICACIÓN ADMINISTRATIVA DE LA PROCURA EN LUBRICANTES Y EQUIPOS VARYNA,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800" w:after="0"/>
        <w:jc w:val="center"/>
      </w:pPr>
      <w:r>
        <w:rPr>
          <w:rFonts w:ascii="Times New Roman" w:hAnsi="Times New Roman"/>
          <w:sz w:val="24"/>
        </w:rPr>
        <w:t>El Tigre, agosto de 2026</w:t>
      </w:r>
    </w:p>
    <w:p>
      <w:pPr>
        <w:sectPr>
          <w:footerReference w:type="default" r:id="rId22"/>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b w:val="0"/>
          <w:sz w:val="24"/>
        </w:rPr>
        <w:t xml:space="preserve">En mi carácter de tutor industrial del informe de pasantías presentado por: </w:t>
      </w:r>
      <w:r>
        <w:rPr>
          <w:rFonts w:ascii="Times New Roman" w:hAnsi="Times New Roman"/>
          <w:b/>
          <w:sz w:val="24"/>
        </w:rPr>
        <w:t>GUZMÁN, KEIDY</w:t>
      </w:r>
      <w:r>
        <w:rPr>
          <w:rFonts w:ascii="Times New Roman" w:hAnsi="Times New Roman"/>
          <w:b w:val="0"/>
          <w:sz w:val="24"/>
        </w:rPr>
        <w:t>, de Cédula de Identidad V-28.706.352; para optar al grado de Técnico Superior Universitario en la especialidad de: Administración, cuyo título es; “</w:t>
      </w:r>
      <w:r>
        <w:rPr>
          <w:rFonts w:ascii="Times New Roman" w:hAnsi="Times New Roman"/>
          <w:b/>
          <w:sz w:val="24"/>
        </w:rPr>
        <w:t>PROPUESTA DE SIMPLIFICACIÓN ADMINISTRATIVA DE LA PROCURA EN LUBRICANTES Y EQUIPOS VARYNA,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14 días del mes de agosto de 2026</w:t>
      </w:r>
    </w:p>
    <w:p/>
    <w:p>
      <w:pPr>
        <w:jc w:val="center"/>
      </w:pPr>
      <w:r>
        <w:drawing>
          <wp:inline xmlns:a="http://schemas.openxmlformats.org/drawingml/2006/main" xmlns:pic="http://schemas.openxmlformats.org/drawingml/2006/picture">
            <wp:extent cx="1440000" cy="853254"/>
            <wp:docPr id="2" name="Picture 2"/>
            <wp:cNvGraphicFramePr>
              <a:graphicFrameLocks noChangeAspect="1"/>
            </wp:cNvGraphicFramePr>
            <a:graphic>
              <a:graphicData uri="http://schemas.openxmlformats.org/drawingml/2006/picture">
                <pic:pic>
                  <pic:nvPicPr>
                    <pic:cNvPr id="0" name="firma_tutor_keidy.png"/>
                    <pic:cNvPicPr/>
                  </pic:nvPicPr>
                  <pic:blipFill>
                    <a:blip r:embed="rId10"/>
                    <a:stretch>
                      <a:fillRect/>
                    </a:stretch>
                  </pic:blipFill>
                  <pic:spPr>
                    <a:xfrm>
                      <a:off x="0" y="0"/>
                      <a:ext cx="1440000" cy="853254"/>
                    </a:xfrm>
                    <a:prstGeom prst="rect"/>
                  </pic:spPr>
                </pic:pic>
              </a:graphicData>
            </a:graphic>
          </wp:inline>
        </w:drawing>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23"/>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b w:val="0"/>
          <w:sz w:val="24"/>
        </w:rPr>
        <w:t xml:space="preserve">En mi carácter de tutor académico del informe de pasantías presentado por: </w:t>
      </w:r>
      <w:r>
        <w:rPr>
          <w:rFonts w:ascii="Times New Roman" w:hAnsi="Times New Roman"/>
          <w:b/>
          <w:sz w:val="24"/>
        </w:rPr>
        <w:t>GUZMÁN, KEIDY</w:t>
      </w:r>
      <w:r>
        <w:rPr>
          <w:rFonts w:ascii="Times New Roman" w:hAnsi="Times New Roman"/>
          <w:b w:val="0"/>
          <w:sz w:val="24"/>
        </w:rPr>
        <w:t>, de Cédula de Identidad V-28.706.352; para optar al grado de Técnico Superior Universitario en la especialidad de: Administración, cuyo título es; “</w:t>
      </w:r>
      <w:r>
        <w:rPr>
          <w:rFonts w:ascii="Times New Roman" w:hAnsi="Times New Roman"/>
          <w:b/>
          <w:sz w:val="24"/>
        </w:rPr>
        <w:t>PROPUESTA DE SIMPLIFICACIÓN ADMINISTRATIVA DE LA PROCURA EN LUBRICANTES Y EQUIPOS VARYNA,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1077989"/>
            <wp:docPr id="3" name="Picture 3"/>
            <wp:cNvGraphicFramePr>
              <a:graphicFrameLocks noChangeAspect="1"/>
            </wp:cNvGraphicFramePr>
            <a:graphic>
              <a:graphicData uri="http://schemas.openxmlformats.org/drawingml/2006/picture">
                <pic:pic>
                  <pic:nvPicPr>
                    <pic:cNvPr id="0" name="firma_tutor_academico.png"/>
                    <pic:cNvPicPr/>
                  </pic:nvPicPr>
                  <pic:blipFill>
                    <a:blip r:embed="rId11"/>
                    <a:stretch>
                      <a:fillRect/>
                    </a:stretch>
                  </pic:blipFill>
                  <pic:spPr>
                    <a:xfrm>
                      <a:off x="0" y="0"/>
                      <a:ext cx="1440000" cy="1077989"/>
                    </a:xfrm>
                    <a:prstGeom prst="rect"/>
                  </pic:spPr>
                </pic:pic>
              </a:graphicData>
            </a:graphic>
          </wp:inline>
        </w:drawing>
      </w:r>
    </w:p>
    <w:p/>
    <w:p>
      <w:pPr>
        <w:spacing w:line="360" w:lineRule="auto"/>
        <w:jc w:val="center"/>
      </w:pPr>
      <w:r>
        <w:rPr>
          <w:rFonts w:ascii="Times New Roman" w:hAnsi="Times New Roman"/>
          <w:b/>
          <w:sz w:val="24"/>
        </w:rPr>
        <w:t>Dra. Carmen J. Álvarez</w:t>
      </w:r>
    </w:p>
    <w:p>
      <w:pPr>
        <w:spacing w:before="0"/>
        <w:jc w:val="center"/>
      </w:pPr>
      <w:r>
        <w:rPr>
          <w:rFonts w:ascii="Times New Roman" w:hAnsi="Times New Roman"/>
          <w:sz w:val="24"/>
        </w:rPr>
        <w:t>C.I.: 14.452.956</w:t>
      </w:r>
    </w:p>
    <w:p>
      <w:pPr>
        <w:sectPr>
          <w:footerReference w:type="default" r:id="rId24"/>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Agradezco al Instituto Universitario de Tecnología "Elías Calixto Pompa" (IUTECP) por los conocimientos y orientaciones brindados durante mi formación; a Lubricantes y Equipos Varyna, C.A., por permitirme realizar las pasantías profesionales en su Departamento Administrativo y conocer de manera directa sus procesos de procura; a mi tutora académica, Dra. Carmen J. Álvarez, y a mi tutora industrial, Martina Rondón, por sus observaciones, acompañamiento y disposición durante el desarrollo del informe; y a todas las personas que colaboraron conmigo durante este período, por su apoyo y por los aprendizajes compartidos.</w:t>
      </w:r>
    </w:p>
    <w:p>
      <w:pPr>
        <w:sectPr>
          <w:footerReference w:type="default" r:id="rId25"/>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acompañarme con paciencia, apoyo y motivación durante mi formación académica y en cada etapa de estas pasantías. Dedico especialmente este logro a quienes han confiado en mí y me han impulsado a continuar creciendo personal y profesionalmente.</w:t>
      </w:r>
    </w:p>
    <w:p>
      <w:pPr>
        <w:sectPr>
          <w:footerReference w:type="default" r:id="rId26"/>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organizativa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 (DIAGRAMA DE GANTT)</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7"/>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 la empresa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 la pasantía</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28"/>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9"/>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Diagrama de Ishikawa definitivo de las causas asociadas a las demoras y pérdida de trazabilidad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Flujograma AS-IS del proceso actual de procura</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Flujograma TO-BE del proceso simplificado propuesto</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Swimlane del proceso propuesto de procura</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SIPOC del proceso de procura</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Matriz RACI propuesta del proceso de procura</w:t>
        <w:tab/>
      </w:r>
      <w:r>
        <w:rPr>
          <w:rFonts w:ascii="Times New Roman" w:hAnsi="Times New Roman"/>
          <w:b w:val="0"/>
          <w:sz w:val="24"/>
        </w:rPr>
        <w:fldChar w:fldCharType="begin"/>
        <w:instrText xml:space="preserve"> PAGEREF bm_anexoF \h </w:instrText>
        <w:fldChar w:fldCharType="separate"/>
        <w:t>?</w:t>
        <w:fldChar w:fldCharType="end"/>
      </w:r>
    </w:p>
    <w:p>
      <w:pPr>
        <w:sectPr>
          <w:footerReference w:type="default" r:id="rId30"/>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PROPUESTA DE SIMPLIFICACIÓN ADMINISTRATIVA DE LA PROCURA EN LUBRICANTES Y EQUIPOS VARYNA, C.A.</w:t>
      </w:r>
    </w:p>
    <w:p>
      <w:pPr>
        <w:spacing w:line="240" w:lineRule="auto" w:after="120"/>
        <w:ind w:left="0"/>
        <w:jc w:val="right"/>
      </w:pPr>
      <w:r>
        <w:rPr>
          <w:rFonts w:ascii="Times New Roman" w:hAnsi="Times New Roman"/>
          <w:b/>
          <w:sz w:val="24"/>
        </w:rPr>
        <w:t>Autor: Guzmán, Keidy</w:t>
        <w:br/>
      </w:r>
      <w:r>
        <w:rPr>
          <w:rFonts w:ascii="Times New Roman" w:hAnsi="Times New Roman"/>
          <w:sz w:val="24"/>
        </w:rPr>
        <w:t>C.I.: 28.706.352</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procura, simplificación administrativa, control interno, requisiciones, pasantías</w:t>
      </w:r>
    </w:p>
    <w:p>
      <w:pPr>
        <w:sectPr>
          <w:footerReference w:type="default" r:id="rId31"/>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2"/>
          <w:footerReference w:type="first" r:id="rId33"/>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Lubricantes y Equipos Varyna,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Varyna, C.A. mantiene su compromiso con el desarrollo productivo del país, sustentando su liderazgo en la innovación continua, la calidad de servicio y el fortalecimiento constante de su capital humano y capacidad logística.</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keepNext/>
        <w:keepLines/>
        <w:spacing w:before="480"/>
        <w:jc w:val="center"/>
      </w:pPr>
      <w:r>
        <w:drawing>
          <wp:inline xmlns:a="http://schemas.openxmlformats.org/drawingml/2006/main" xmlns:pic="http://schemas.openxmlformats.org/drawingml/2006/picture">
            <wp:extent cx="1512000" cy="1512000"/>
            <wp:docPr id="4" name="Picture 4"/>
            <wp:cNvGraphicFramePr>
              <a:graphicFrameLocks noChangeAspect="1"/>
            </wp:cNvGraphicFramePr>
            <a:graphic>
              <a:graphicData uri="http://schemas.openxmlformats.org/drawingml/2006/picture">
                <pic:pic>
                  <pic:nvPicPr>
                    <pic:cNvPr id="0" name="logo.jpg"/>
                    <pic:cNvPicPr/>
                  </pic:nvPicPr>
                  <pic:blipFill>
                    <a:blip r:embed="rId12"/>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Lubricantes y Equipos Varyna, C.A.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Lubricantes y Equipos Varyna, C.A.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keepNext/>
        <w:keepLines/>
        <w:spacing w:before="480"/>
        <w:jc w:val="center"/>
      </w:pPr>
      <w:r>
        <w:drawing>
          <wp:inline xmlns:a="http://schemas.openxmlformats.org/drawingml/2006/main" xmlns:pic="http://schemas.openxmlformats.org/drawingml/2006/picture">
            <wp:extent cx="1800000" cy="1315385"/>
            <wp:docPr id="5" name="Picture 5"/>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1800000" cy="1315385"/>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Representación cartográfica y ubicación espacial de la empresa.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Google Maps (2026).</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 la empresa.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Alta Dirección</w:t>
            </w:r>
          </w:p>
        </w:tc>
        <w:tc>
          <w:tcPr>
            <w:tcW w:type="dxa" w:w="2886"/>
          </w:tcPr>
          <w:p>
            <w:pPr>
              <w:spacing w:line="240" w:lineRule="auto" w:before="40" w:after="40"/>
              <w:jc w:val="left"/>
            </w:pPr>
            <w:r/>
            <w:r>
              <w:rPr>
                <w:rFonts w:ascii="Times New Roman" w:hAnsi="Times New Roman"/>
                <w:sz w:val="20"/>
              </w:rPr>
              <w:t>Gerente General</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Dirección Operativa</w:t>
            </w:r>
          </w:p>
        </w:tc>
        <w:tc>
          <w:tcPr>
            <w:tcW w:type="dxa" w:w="2886"/>
          </w:tcPr>
          <w:p>
            <w:pPr>
              <w:spacing w:line="240" w:lineRule="auto" w:before="40" w:after="40"/>
              <w:jc w:val="left"/>
            </w:pPr>
            <w:r/>
            <w:r>
              <w:rPr>
                <w:rFonts w:ascii="Times New Roman" w:hAnsi="Times New Roman"/>
                <w:sz w:val="20"/>
              </w:rPr>
              <w:t>Gerente de Operaciones</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Control y Avance</w:t>
            </w:r>
          </w:p>
        </w:tc>
        <w:tc>
          <w:tcPr>
            <w:tcW w:type="dxa" w:w="2886"/>
          </w:tcPr>
          <w:p>
            <w:pPr>
              <w:spacing w:line="240" w:lineRule="auto" w:before="40" w:after="40"/>
              <w:jc w:val="left"/>
            </w:pPr>
            <w:r/>
            <w:r>
              <w:rPr>
                <w:rFonts w:ascii="Times New Roman" w:hAnsi="Times New Roman"/>
                <w:sz w:val="20"/>
              </w:rPr>
              <w:t>Gerente / Operaciones Morichal</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Administración (Área de Pasantía)</w:t>
            </w:r>
          </w:p>
        </w:tc>
        <w:tc>
          <w:tcPr>
            <w:tcW w:type="dxa" w:w="2886"/>
          </w:tcPr>
          <w:p>
            <w:pPr>
              <w:spacing w:line="240" w:lineRule="auto" w:before="40" w:after="40"/>
              <w:jc w:val="left"/>
            </w:pPr>
            <w:r/>
            <w:r>
              <w:rPr>
                <w:rFonts w:ascii="Times New Roman" w:hAnsi="Times New Roman"/>
                <w:sz w:val="20"/>
              </w:rPr>
              <w:t>Administración / Asistentes Administrativos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Control de Avance, Logística y Compras (Procura)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Operarios, Sup. Patio, Mantenimiento y Logística</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Contratación y Adm. Contratos</w:t>
            </w:r>
          </w:p>
        </w:tc>
        <w:tc>
          <w:tcPr>
            <w:tcW w:type="dxa" w:w="2886"/>
          </w:tcPr>
          <w:p>
            <w:pPr>
              <w:spacing w:line="240" w:lineRule="auto" w:before="40" w:after="40"/>
              <w:jc w:val="left"/>
            </w:pPr>
            <w:r/>
            <w:r>
              <w:rPr>
                <w:rFonts w:ascii="Times New Roman" w:hAnsi="Times New Roman"/>
                <w:sz w:val="20"/>
              </w:rPr>
              <w:t>Gerente / Estimadores, Administradores, Planificadores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Recursos Humanos</w:t>
            </w:r>
          </w:p>
        </w:tc>
        <w:tc>
          <w:tcPr>
            <w:tcW w:type="dxa" w:w="2886"/>
          </w:tcPr>
          <w:p>
            <w:pPr>
              <w:spacing w:line="240" w:lineRule="auto" w:before="40" w:after="40"/>
              <w:jc w:val="left"/>
            </w:pPr>
            <w:r/>
            <w:r>
              <w:rPr>
                <w:rFonts w:ascii="Times New Roman" w:hAnsi="Times New Roman"/>
                <w:sz w:val="20"/>
              </w:rPr>
              <w:t>Gerente de RRHH-Laborales / Asistentes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Proyectos y Producción</w:t>
            </w:r>
          </w:p>
        </w:tc>
        <w:tc>
          <w:tcPr>
            <w:tcW w:type="dxa" w:w="2886"/>
          </w:tcPr>
          <w:p>
            <w:pPr>
              <w:spacing w:line="240" w:lineRule="auto" w:before="40" w:after="40"/>
              <w:jc w:val="left"/>
            </w:pPr>
            <w:r/>
            <w:r>
              <w:rPr>
                <w:rFonts w:ascii="Times New Roman" w:hAnsi="Times New Roman"/>
                <w:sz w:val="20"/>
              </w:rPr>
              <w:t>Gerentes de Proyecto, Optimización y Servicios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Gerente Metalmecánico</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Ingeniería y Campo</w:t>
            </w:r>
          </w:p>
        </w:tc>
        <w:tc>
          <w:tcPr>
            <w:tcW w:type="dxa" w:w="2886"/>
          </w:tcPr>
          <w:p>
            <w:pPr>
              <w:spacing w:line="240" w:lineRule="auto" w:before="40" w:after="40"/>
              <w:jc w:val="left"/>
            </w:pPr>
            <w:r/>
            <w:r>
              <w:rPr>
                <w:rFonts w:ascii="Times New Roman" w:hAnsi="Times New Roman"/>
                <w:sz w:val="20"/>
              </w:rPr>
              <w:t>Ingenieros Residentes / Coordinadores (SIHO-A,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c>
          <w:tcPr>
            <w:tcW w:type="dxa" w:w="1134"/>
          </w:tcPr>
          <w:p>
            <w:pPr>
              <w:spacing w:line="240" w:lineRule="auto" w:before="40" w:after="40"/>
              <w:jc w:val="center"/>
            </w:pPr>
            <w:r/>
            <w:r>
              <w:rPr>
                <w:rFonts w:ascii="Times New Roman" w:hAnsi="Times New Roman"/>
                <w:sz w:val="20"/>
              </w:rPr>
              <w:t>5</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Inspectores (SIHO, Ambiente, Paramédicos,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4</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Supervisor de Obras, Operadores, Chóferes, Soldadores, Obreros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10</w:t>
            </w:r>
          </w:p>
        </w:tc>
        <w:tc>
          <w:tcPr>
            <w:tcW w:type="dxa" w:w="1134"/>
          </w:tcPr>
          <w:p>
            <w:pPr>
              <w:spacing w:line="240" w:lineRule="auto" w:before="40" w:after="40"/>
              <w:jc w:val="center"/>
            </w:pPr>
            <w:r/>
            <w:r>
              <w:rPr>
                <w:rFonts w:ascii="Times New Roman" w:hAnsi="Times New Roman"/>
                <w:sz w:val="20"/>
              </w:rPr>
              <w:t>11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14</w:t>
            </w:r>
          </w:p>
        </w:tc>
        <w:tc>
          <w:tcPr>
            <w:tcW w:type="dxa" w:w="1134"/>
          </w:tcPr>
          <w:p>
            <w:pPr>
              <w:spacing w:line="240" w:lineRule="auto" w:before="40" w:after="40"/>
              <w:jc w:val="center"/>
            </w:pPr>
            <w:r/>
            <w:r>
              <w:rPr>
                <w:rFonts w:ascii="Times New Roman" w:hAnsi="Times New Roman"/>
                <w:sz w:val="20"/>
              </w:rPr>
              <w:t>28</w:t>
            </w:r>
          </w:p>
        </w:tc>
        <w:tc>
          <w:tcPr>
            <w:tcW w:type="dxa" w:w="1134"/>
          </w:tcPr>
          <w:p>
            <w:pPr>
              <w:spacing w:line="240" w:lineRule="auto" w:before="40" w:after="40"/>
              <w:jc w:val="center"/>
            </w:pPr>
            <w:r/>
            <w:r>
              <w:rPr>
                <w:rFonts w:ascii="Times New Roman" w:hAnsi="Times New Roman"/>
                <w:sz w:val="20"/>
              </w:rPr>
              <w:t>42</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Lubricantes y Equipos Varyna, C.A. (2026).</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 de la empresa (Organigrama)</w:t>
      </w:r>
      <w:bookmarkEnd w:id="23"/>
    </w:p>
    <w:p>
      <w:pPr>
        <w:spacing w:line="360" w:lineRule="auto" w:after="0" w:before="0"/>
        <w:ind w:firstLine="709"/>
        <w:jc w:val="both"/>
      </w:pPr>
      <w:r>
        <w:rPr>
          <w:rFonts w:ascii="Times New Roman" w:hAnsi="Times New Roman"/>
          <w:i w:val="0"/>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A continuación, se presenta el organigrama general de la organización y las unidades vinculadas con el área donde se desarrollaron las pasantías.</w:t>
      </w:r>
    </w:p>
    <w:p>
      <w:pPr>
        <w:keepNext/>
        <w:keepLines/>
        <w:spacing w:before="480"/>
        <w:jc w:val="center"/>
      </w:pPr>
      <w:r>
        <w:drawing>
          <wp:inline xmlns:a="http://schemas.openxmlformats.org/drawingml/2006/main" xmlns:pic="http://schemas.openxmlformats.org/drawingml/2006/picture">
            <wp:extent cx="4320000" cy="2603179"/>
            <wp:docPr id="6" name="Picture 6"/>
            <wp:cNvGraphicFramePr>
              <a:graphicFrameLocks noChangeAspect="1"/>
            </wp:cNvGraphicFramePr>
            <a:graphic>
              <a:graphicData uri="http://schemas.openxmlformats.org/drawingml/2006/picture">
                <pic:pic>
                  <pic:nvPicPr>
                    <pic:cNvPr id="0" name="2.png"/>
                    <pic:cNvPicPr/>
                  </pic:nvPicPr>
                  <pic:blipFill>
                    <a:blip r:embed="rId14"/>
                    <a:stretch>
                      <a:fillRect/>
                    </a:stretch>
                  </pic:blipFill>
                  <pic:spPr>
                    <a:xfrm>
                      <a:off x="0" y="0"/>
                      <a:ext cx="4320000" cy="2603179"/>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la organización.</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Lubricantes y Equipos Varyna, C.A. (2026).</w:t>
      </w:r>
    </w:p>
    <w:p>
      <w:bookmarkStart w:id="25"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5"/>
    </w:p>
    <w:p>
      <w:pPr>
        <w:spacing w:line="360" w:lineRule="auto" w:after="0" w:before="0"/>
        <w:ind w:firstLine="709"/>
        <w:jc w:val="both"/>
      </w:pPr>
      <w:r>
        <w:rPr>
          <w:rFonts w:ascii="Times New Roman" w:hAnsi="Times New Roman"/>
          <w:i w:val="0"/>
          <w:sz w:val="24"/>
        </w:rPr>
        <w:t>El Departamento Administrativo fue el área en la que se desarrollaron las pasantías profesionales. Dentro de esta unidad se realizan actividades relacionadas con administración, control de documentación, logística y procura. En lo relativo al proceso de compras, el departamento recibe requerimientos, gestiona solicitudes de cotización, mantiene comunicación con proveedores, prepara y tramita documentación de compra y realiza seguimiento a las adquisiciones hasta su correspondiente cierre administrativo. La pasantía se concentró especialmente en estas actividades de procura, lo que permitió observar el recorrido de las requisiciones, identificar oportunidades de simplificación y formular una propuesta ajustada a las necesidades operativas del área.</w:t>
      </w:r>
    </w:p>
    <w:p>
      <w:pPr>
        <w:sectPr>
          <w:footerReference w:type="default" r:id="rId34"/>
          <w:footerReference w:type="first" r:id="rId35"/>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6" w:name="bm_cap2"/>
      <w:pPr>
        <w:pStyle w:val="IUTECPCapítulo"/>
        <w:spacing w:before="480"/>
        <w:jc w:val="center"/>
      </w:pPr>
      <w:r>
        <w:rPr>
          <w:rFonts w:ascii="Times New Roman" w:hAnsi="Times New Roman"/>
          <w:b/>
          <w:sz w:val="24"/>
        </w:rPr>
        <w:t>DIAGNÓSTICO SITUACIONAL</w:t>
      </w:r>
      <w:bookmarkEnd w:id="26"/>
    </w:p>
    <w:p>
      <w:bookmarkStart w:id="27"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7"/>
    </w:p>
    <w:p>
      <w:pPr>
        <w:spacing w:line="360" w:lineRule="auto" w:after="0" w:before="0"/>
        <w:ind w:firstLine="709"/>
        <w:jc w:val="both"/>
      </w:pPr>
      <w:r>
        <w:rPr>
          <w:rFonts w:ascii="Times New Roman" w:hAnsi="Times New Roman"/>
          <w:i w:val="0"/>
          <w:sz w:val="24"/>
        </w:rPr>
        <w:t>La identificación de la situación problemática permite analizar las condiciones que afectan el proceso administrativo de procura en el Departamento Administrativo de Lubricantes y Equipos Varyna, C.A. Para comprender la problemática de manera progresiva, se consideran aspectos generales relacionados con la gestión de compras en las organizaciones, las exigencias propias del sector industrial y, finalmente, las condiciones observadas directamente en la empresa durante el período de pasantías.</w:t>
      </w:r>
    </w:p>
    <w:p>
      <w:pPr>
        <w:pStyle w:val="IUTECPTítulo2"/>
        <w:keepNext/>
        <w:keepLines/>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pStyle w:val="IUTECPTítulo2"/>
        <w:keepNext/>
        <w:keepLines/>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pStyle w:val="IUTECPTítulo2"/>
        <w:keepNext/>
        <w:keepLines/>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line="360" w:lineRule="auto" w:after="0" w:before="0"/>
        <w:ind w:firstLine="709"/>
        <w:jc w:val="both"/>
      </w:pPr>
      <w:r>
        <w:rPr>
          <w:rFonts w:ascii="Times New Roman" w:hAnsi="Times New Roman"/>
          <w:i w:val="0"/>
          <w:sz w:val="24"/>
        </w:rPr>
        <w:t>El recorrido observado del proceso se sintetiza en el flujograma AS-IS incorporado como Anexo B, donde se muestran las etapas de recepción, cotización, aprobación, orden de compra, seguimiento y cierre, junto con los principales puntos críticos identificados.</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 (véase Anexo A).</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28" w:name="bm_cap2_objg"/>
      <w:pPr>
        <w:pStyle w:val="IUTECPTítulo2"/>
        <w:keepNext/>
        <w:keepLines/>
        <w:spacing w:before="480" w:after="480" w:line="360" w:lineRule="auto"/>
        <w:jc w:val="left"/>
      </w:pPr>
      <w:r>
        <w:rPr>
          <w:rFonts w:ascii="Times New Roman" w:hAnsi="Times New Roman"/>
          <w:b/>
          <w:sz w:val="24"/>
        </w:rPr>
        <w:t>Objetivo General</w:t>
      </w:r>
      <w:bookmarkEnd w:id="28"/>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29" w:name="bm_cap2_obje"/>
      <w:pPr>
        <w:pStyle w:val="IUTECPTítulo2"/>
        <w:keepNext/>
        <w:keepLines/>
        <w:spacing w:before="480" w:after="480" w:line="360" w:lineRule="auto"/>
        <w:jc w:val="left"/>
      </w:pPr>
      <w:r>
        <w:rPr>
          <w:rFonts w:ascii="Times New Roman" w:hAnsi="Times New Roman"/>
          <w:b/>
          <w:sz w:val="24"/>
        </w:rPr>
        <w:t>Objetivos Específicos</w:t>
      </w:r>
      <w:bookmarkEnd w:id="29"/>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30"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0"/>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31"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1"/>
    </w:p>
    <w:tbl>
      <w:tblPr>
        <w:tblStyle w:val="TableGrid"/>
        <w:tblW w:type="auto" w:w="0"/>
        <w:tblLook w:firstColumn="1" w:firstRow="1" w:lastColumn="0" w:lastRow="0" w:noHBand="0" w:noVBand="1" w:val="04A0"/>
        <w:tblLayout w:type="fixed"/>
      </w:tblPr>
      <w:tblGrid>
        <w:gridCol w:w="1729"/>
        <w:gridCol w:w="1530"/>
        <w:gridCol w:w="1786"/>
        <w:gridCol w:w="1530"/>
        <w:gridCol w:w="1701"/>
      </w:tblGrid>
      <w:tr>
        <w:trPr>
          <w:tblHeader/>
          <w:cantSplit/>
        </w:trPr>
        <w:tc>
          <w:tcPr>
            <w:tcW w:w="1729" w:type="dxa"/>
            <w:shd w:val="clear" w:color="auto" w:fill="4472C4"/>
          </w:tcPr>
          <w:p>
            <w:pPr>
              <w:spacing w:before="20" w:after="20" w:line="240" w:lineRule="auto"/>
              <w:jc w:val="center"/>
            </w:pPr>
            <w:r>
              <w:rPr>
                <w:rFonts w:ascii="Times New Roman" w:hAnsi="Times New Roman"/>
                <w:b/>
                <w:color w:val="FFFFFF"/>
                <w:sz w:val="18"/>
              </w:rPr>
              <w:t>Objetivo</w:t>
            </w:r>
          </w:p>
        </w:tc>
        <w:tc>
          <w:tcPr>
            <w:tcW w:w="1530" w:type="dxa"/>
            <w:shd w:val="clear" w:color="auto" w:fill="4472C4"/>
          </w:tcPr>
          <w:p>
            <w:pPr>
              <w:spacing w:before="20" w:after="20" w:line="240" w:lineRule="auto"/>
              <w:jc w:val="center"/>
            </w:pPr>
            <w:r>
              <w:rPr>
                <w:rFonts w:ascii="Times New Roman" w:hAnsi="Times New Roman"/>
                <w:b/>
                <w:color w:val="FFFFFF"/>
                <w:sz w:val="18"/>
              </w:rPr>
              <w:t>Variable</w:t>
            </w:r>
          </w:p>
        </w:tc>
        <w:tc>
          <w:tcPr>
            <w:tcW w:w="1786" w:type="dxa"/>
            <w:shd w:val="clear" w:color="auto" w:fill="4472C4"/>
          </w:tcPr>
          <w:p>
            <w:pPr>
              <w:spacing w:before="20" w:after="20" w:line="240" w:lineRule="auto"/>
              <w:jc w:val="center"/>
            </w:pPr>
            <w:r>
              <w:rPr>
                <w:rFonts w:ascii="Times New Roman" w:hAnsi="Times New Roman"/>
                <w:b/>
                <w:color w:val="FFFFFF"/>
                <w:sz w:val="18"/>
              </w:rPr>
              <w:t>Actividades</w:t>
            </w:r>
          </w:p>
        </w:tc>
        <w:tc>
          <w:tcPr>
            <w:tcW w:w="1530" w:type="dxa"/>
            <w:shd w:val="clear" w:color="auto" w:fill="4472C4"/>
          </w:tcPr>
          <w:p>
            <w:pPr>
              <w:spacing w:before="20" w:after="20" w:line="240" w:lineRule="auto"/>
              <w:jc w:val="center"/>
            </w:pPr>
            <w:r>
              <w:rPr>
                <w:rFonts w:ascii="Times New Roman" w:hAnsi="Times New Roman"/>
                <w:b/>
                <w:color w:val="FFFFFF"/>
                <w:sz w:val="18"/>
              </w:rPr>
              <w:t>Técnica</w:t>
            </w:r>
          </w:p>
        </w:tc>
        <w:tc>
          <w:tcPr>
            <w:tcW w:w="1701" w:type="dxa"/>
            <w:shd w:val="clear" w:color="auto" w:fill="4472C4"/>
          </w:tcPr>
          <w:p>
            <w:pPr>
              <w:spacing w:before="20" w:after="20" w:line="240" w:lineRule="auto"/>
              <w:jc w:val="center"/>
            </w:pPr>
            <w:r>
              <w:rPr>
                <w:rFonts w:ascii="Times New Roman" w:hAnsi="Times New Roman"/>
                <w:b/>
                <w:color w:val="FFFFFF"/>
                <w:sz w:val="18"/>
              </w:rPr>
              <w:t>Instrumento</w:t>
            </w:r>
          </w:p>
        </w:tc>
      </w:tr>
      <w:tr>
        <w:trPr>
          <w:cantSplit/>
        </w:trPr>
        <w:tc>
          <w:tcPr>
            <w:tcW w:w="1729" w:type="dxa"/>
            <w:shd w:val="clear" w:color="auto" w:fill="FFFFFF"/>
          </w:tcPr>
          <w:p>
            <w:pPr>
              <w:spacing w:before="20" w:after="20" w:line="240" w:lineRule="auto"/>
              <w:jc w:val="left"/>
            </w:pPr>
            <w:r>
              <w:rPr>
                <w:rFonts w:ascii="Times New Roman" w:hAnsi="Times New Roman"/>
                <w:b w:val="0"/>
                <w:color w:val="000000"/>
                <w:sz w:val="17"/>
              </w:rPr>
              <w:t>Diagnosticar el proceso actual de procura en el Departamento Administrativo de Lubricantes y Equipos Varyna, C.A., para conocer el recorrido de las requisiciones y los mecanismos de control utilizados.</w:t>
            </w:r>
          </w:p>
        </w:tc>
        <w:tc>
          <w:tcPr>
            <w:tcW w:w="1530" w:type="dxa"/>
            <w:shd w:val="clear" w:color="auto" w:fill="FFFFFF"/>
          </w:tcPr>
          <w:p>
            <w:pPr>
              <w:spacing w:before="20" w:after="20" w:line="240" w:lineRule="auto"/>
              <w:jc w:val="left"/>
            </w:pPr>
            <w:r>
              <w:rPr>
                <w:rFonts w:ascii="Times New Roman" w:hAnsi="Times New Roman"/>
                <w:b w:val="0"/>
                <w:color w:val="000000"/>
                <w:sz w:val="17"/>
              </w:rPr>
              <w:t>Proceso actual de procura y recorrido de las requisiciones.</w:t>
            </w:r>
          </w:p>
        </w:tc>
        <w:tc>
          <w:tcPr>
            <w:tcW w:w="1786" w:type="dxa"/>
            <w:shd w:val="clear" w:color="auto" w:fill="FFFFFF"/>
          </w:tcPr>
          <w:p>
            <w:pPr>
              <w:spacing w:before="20" w:after="20" w:line="240" w:lineRule="auto"/>
              <w:jc w:val="left"/>
            </w:pPr>
            <w:r>
              <w:rPr>
                <w:rFonts w:ascii="Times New Roman" w:hAnsi="Times New Roman"/>
                <w:b w:val="0"/>
                <w:color w:val="000000"/>
                <w:sz w:val="17"/>
              </w:rPr>
              <w:t>Observar el ciclo de compras, levantar el flujo existente y aplicar una entrevista estructurada al personal relacionado con la procura.</w:t>
            </w:r>
          </w:p>
        </w:tc>
        <w:tc>
          <w:tcPr>
            <w:tcW w:w="1530" w:type="dxa"/>
            <w:shd w:val="clear" w:color="auto" w:fill="FFFFFF"/>
          </w:tcPr>
          <w:p>
            <w:pPr>
              <w:spacing w:before="20" w:after="20" w:line="240" w:lineRule="auto"/>
              <w:jc w:val="left"/>
            </w:pPr>
            <w:r>
              <w:rPr>
                <w:rFonts w:ascii="Times New Roman" w:hAnsi="Times New Roman"/>
                <w:b w:val="0"/>
                <w:color w:val="000000"/>
                <w:sz w:val="17"/>
              </w:rPr>
              <w:t>Observación directa, entrevista estructurada y revisión documental.</w:t>
            </w:r>
          </w:p>
        </w:tc>
        <w:tc>
          <w:tcPr>
            <w:tcW w:w="1701" w:type="dxa"/>
            <w:shd w:val="clear" w:color="auto" w:fill="FFFFFF"/>
          </w:tcPr>
          <w:p>
            <w:pPr>
              <w:spacing w:before="20" w:after="20" w:line="240" w:lineRule="auto"/>
              <w:jc w:val="left"/>
            </w:pPr>
            <w:r>
              <w:rPr>
                <w:rFonts w:ascii="Times New Roman" w:hAnsi="Times New Roman"/>
                <w:b w:val="0"/>
                <w:color w:val="000000"/>
                <w:sz w:val="17"/>
              </w:rPr>
              <w:t>Guía de observación, guía de entrevista, cuaderno de notas y expedientes de compra.</w:t>
            </w:r>
          </w:p>
        </w:tc>
      </w:tr>
      <w:tr>
        <w:trPr>
          <w:cantSplit/>
        </w:trPr>
        <w:tc>
          <w:tcPr>
            <w:tcW w:w="1729" w:type="dxa"/>
            <w:shd w:val="clear" w:color="auto" w:fill="D9E1F2"/>
          </w:tcPr>
          <w:p>
            <w:pPr>
              <w:spacing w:before="20" w:after="20" w:line="240" w:lineRule="auto"/>
              <w:jc w:val="left"/>
            </w:pPr>
            <w:r>
              <w:rPr>
                <w:rFonts w:ascii="Times New Roman" w:hAnsi="Times New Roman"/>
                <w:b w:val="0"/>
                <w:color w:val="000000"/>
                <w:sz w:val="17"/>
              </w:rPr>
              <w:t>Identificar las deficiencias, redundancias y causas que generan retrasos o pérdida de trazabilidad en las fases de recepción, cotización, aprobación y seguimiento de las adquisiciones.</w:t>
            </w:r>
          </w:p>
        </w:tc>
        <w:tc>
          <w:tcPr>
            <w:tcW w:w="1530" w:type="dxa"/>
            <w:shd w:val="clear" w:color="auto" w:fill="D9E1F2"/>
          </w:tcPr>
          <w:p>
            <w:pPr>
              <w:spacing w:before="20" w:after="20" w:line="240" w:lineRule="auto"/>
              <w:jc w:val="left"/>
            </w:pPr>
            <w:r>
              <w:rPr>
                <w:rFonts w:ascii="Times New Roman" w:hAnsi="Times New Roman"/>
                <w:b w:val="0"/>
                <w:color w:val="000000"/>
                <w:sz w:val="17"/>
              </w:rPr>
              <w:t>Deficiencias, redundancias y causas de demora del proceso.</w:t>
            </w:r>
          </w:p>
        </w:tc>
        <w:tc>
          <w:tcPr>
            <w:tcW w:w="1786" w:type="dxa"/>
            <w:shd w:val="clear" w:color="auto" w:fill="D9E1F2"/>
          </w:tcPr>
          <w:p>
            <w:pPr>
              <w:spacing w:before="20" w:after="20" w:line="240" w:lineRule="auto"/>
              <w:jc w:val="left"/>
            </w:pPr>
            <w:r>
              <w:rPr>
                <w:rFonts w:ascii="Times New Roman" w:hAnsi="Times New Roman"/>
                <w:b w:val="0"/>
                <w:color w:val="000000"/>
                <w:sz w:val="17"/>
              </w:rPr>
              <w:t>Revisar expedientes históricos, comparar tiempos por fase, identificar cuellos de botella y elaborar el diagrama de Ishikawa.</w:t>
            </w:r>
          </w:p>
        </w:tc>
        <w:tc>
          <w:tcPr>
            <w:tcW w:w="1530" w:type="dxa"/>
            <w:shd w:val="clear" w:color="auto" w:fill="D9E1F2"/>
          </w:tcPr>
          <w:p>
            <w:pPr>
              <w:spacing w:before="20" w:after="20" w:line="240" w:lineRule="auto"/>
              <w:jc w:val="left"/>
            </w:pPr>
            <w:r>
              <w:rPr>
                <w:rFonts w:ascii="Times New Roman" w:hAnsi="Times New Roman"/>
                <w:b w:val="0"/>
                <w:color w:val="000000"/>
                <w:sz w:val="17"/>
              </w:rPr>
              <w:t>Análisis documental, análisis de tiempos y diagrama causa-efecto.</w:t>
            </w:r>
          </w:p>
        </w:tc>
        <w:tc>
          <w:tcPr>
            <w:tcW w:w="1701" w:type="dxa"/>
            <w:shd w:val="clear" w:color="auto" w:fill="D9E1F2"/>
          </w:tcPr>
          <w:p>
            <w:pPr>
              <w:spacing w:before="20" w:after="20" w:line="240" w:lineRule="auto"/>
              <w:jc w:val="left"/>
            </w:pPr>
            <w:r>
              <w:rPr>
                <w:rFonts w:ascii="Times New Roman" w:hAnsi="Times New Roman"/>
                <w:b w:val="0"/>
                <w:color w:val="000000"/>
                <w:sz w:val="17"/>
              </w:rPr>
              <w:t>Hojas de registro, expedientes históricos, hoja de cálculo y matriz de causas.</w:t>
            </w:r>
          </w:p>
        </w:tc>
      </w:tr>
      <w:tr>
        <w:trPr>
          <w:cantSplit/>
        </w:trPr>
        <w:tc>
          <w:tcPr>
            <w:tcW w:w="1729" w:type="dxa"/>
            <w:shd w:val="clear" w:color="auto" w:fill="FFFFFF"/>
          </w:tcPr>
          <w:p>
            <w:pPr>
              <w:spacing w:before="20" w:after="20" w:line="240" w:lineRule="auto"/>
              <w:jc w:val="left"/>
            </w:pPr>
            <w:r>
              <w:rPr>
                <w:rFonts w:ascii="Times New Roman" w:hAnsi="Times New Roman"/>
                <w:b w:val="0"/>
                <w:color w:val="000000"/>
                <w:sz w:val="17"/>
              </w:rPr>
              <w:t>Formular una propuesta de simplificación administrativa del proceso de procura que integre un flujo definido, responsables, formatos estandarizados, criterios de autorización y mecanismos de seguimiento.</w:t>
            </w:r>
          </w:p>
        </w:tc>
        <w:tc>
          <w:tcPr>
            <w:tcW w:w="1530" w:type="dxa"/>
            <w:shd w:val="clear" w:color="auto" w:fill="FFFFFF"/>
          </w:tcPr>
          <w:p>
            <w:pPr>
              <w:spacing w:before="20" w:after="20" w:line="240" w:lineRule="auto"/>
              <w:jc w:val="left"/>
            </w:pPr>
            <w:r>
              <w:rPr>
                <w:rFonts w:ascii="Times New Roman" w:hAnsi="Times New Roman"/>
                <w:b w:val="0"/>
                <w:color w:val="000000"/>
                <w:sz w:val="17"/>
              </w:rPr>
              <w:t>Propuesta de simplificación administrativa de la procura.</w:t>
            </w:r>
          </w:p>
        </w:tc>
        <w:tc>
          <w:tcPr>
            <w:tcW w:w="1786" w:type="dxa"/>
            <w:shd w:val="clear" w:color="auto" w:fill="FFFFFF"/>
          </w:tcPr>
          <w:p>
            <w:pPr>
              <w:spacing w:before="20" w:after="20" w:line="240" w:lineRule="auto"/>
              <w:jc w:val="left"/>
            </w:pPr>
            <w:r>
              <w:rPr>
                <w:rFonts w:ascii="Times New Roman" w:hAnsi="Times New Roman"/>
                <w:b w:val="0"/>
                <w:color w:val="000000"/>
                <w:sz w:val="17"/>
              </w:rPr>
              <w:t>Diseñar el flujo simplificado, formatos de solicitud y orden de compra, matriz de autorización por monto e indicadores básicos de seguimiento; validar la propuesta con el tutor industrial.</w:t>
            </w:r>
          </w:p>
        </w:tc>
        <w:tc>
          <w:tcPr>
            <w:tcW w:w="1530" w:type="dxa"/>
            <w:shd w:val="clear" w:color="auto" w:fill="FFFFFF"/>
          </w:tcPr>
          <w:p>
            <w:pPr>
              <w:spacing w:before="20" w:after="20" w:line="240" w:lineRule="auto"/>
              <w:jc w:val="left"/>
            </w:pPr>
            <w:r>
              <w:rPr>
                <w:rFonts w:ascii="Times New Roman" w:hAnsi="Times New Roman"/>
                <w:b w:val="0"/>
                <w:color w:val="000000"/>
                <w:sz w:val="17"/>
              </w:rPr>
              <w:t>Diseño procedimental, estandarización de formatos y validación técnica.</w:t>
            </w:r>
          </w:p>
        </w:tc>
        <w:tc>
          <w:tcPr>
            <w:tcW w:w="1701" w:type="dxa"/>
            <w:shd w:val="clear" w:color="auto" w:fill="FFFFFF"/>
          </w:tcPr>
          <w:p>
            <w:pPr>
              <w:spacing w:before="20" w:after="20" w:line="240" w:lineRule="auto"/>
              <w:jc w:val="left"/>
            </w:pPr>
            <w:r>
              <w:rPr>
                <w:rFonts w:ascii="Times New Roman" w:hAnsi="Times New Roman"/>
                <w:b w:val="0"/>
                <w:color w:val="000000"/>
                <w:sz w:val="17"/>
              </w:rPr>
              <w:t>Procesador de textos, hoja de cálculo, herramientas de diagramación y formato de validación.</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Guzmán K. (2026).</w:t>
      </w:r>
    </w:p>
    <w:p/>
    <w:p>
      <w:bookmarkStart w:id="32" w:name="bm_cap2_crono"/>
      <w:pPr>
        <w:pStyle w:val="IUTECPTítulo2"/>
        <w:keepNext/>
        <w:keepLines/>
        <w:spacing w:before="480" w:after="480" w:line="360" w:lineRule="auto"/>
        <w:jc w:val="left"/>
      </w:pPr>
      <w:r>
        <w:rPr>
          <w:rFonts w:ascii="Times New Roman" w:hAnsi="Times New Roman"/>
          <w:b/>
          <w:sz w:val="24"/>
        </w:rPr>
        <w:t>CRONOGRAMA DE ACTIVIDADES (DIAGRAMA DE GANTT)</w:t>
      </w:r>
      <w:bookmarkEnd w:id="32"/>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33" w:name="bm_cuadro3"/>
      <w:pPr>
        <w:keepNext/>
        <w:keepLines/>
        <w:spacing w:before="480" w:after="240" w:line="360" w:lineRule="auto"/>
        <w:jc w:val="left"/>
      </w:pPr>
      <w:r>
        <w:rPr>
          <w:rFonts w:ascii="Times New Roman" w:hAnsi="Times New Roman"/>
          <w:b/>
          <w:sz w:val="20"/>
        </w:rPr>
        <w:t xml:space="preserve">Cuadro 3. </w:t>
      </w:r>
      <w:r>
        <w:rPr>
          <w:rFonts w:ascii="Times New Roman" w:hAnsi="Times New Roman"/>
          <w:i/>
          <w:sz w:val="20"/>
        </w:rPr>
        <w:t>Cronograma de actividades de la pasantía.</w:t>
      </w:r>
      <w:bookmarkEnd w:id="33"/>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gridSpan w:val="2"/>
            <w:shd w:val="clear" w:color="auto" w:fill="4472C4"/>
          </w:tcPr>
          <w:p>
            <w:pPr>
              <w:spacing w:before="60" w:after="60" w:line="240" w:lineRule="auto"/>
              <w:jc w:val="center"/>
            </w:pPr>
            <w:r>
              <w:rPr>
                <w:rFonts w:ascii="Times New Roman" w:hAnsi="Times New Roman"/>
                <w:b/>
                <w:color w:val="FFFFFF"/>
                <w:sz w:val="20"/>
              </w:rPr>
              <w:t>AGOSTO</w:t>
            </w:r>
          </w:p>
        </w:tc>
      </w:tr>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67" w:type="dxa"/>
            <w:shd w:val="clear" w:color="auto" w:fill="4472C4"/>
          </w:tcPr>
          <w:p>
            <w:pPr>
              <w:spacing w:before="60" w:after="60" w:line="240" w:lineRule="auto"/>
              <w:jc w:val="center"/>
            </w:pPr>
            <w:r>
              <w:rPr>
                <w:rFonts w:ascii="Times New Roman" w:hAnsi="Times New Roman"/>
                <w:b/>
                <w:color w:val="FFFFFF"/>
                <w:sz w:val="20"/>
              </w:rPr>
              <w:t>1</w:t>
            </w:r>
          </w:p>
        </w:tc>
        <w:tc>
          <w:tcPr>
            <w:tcW w:w="567" w:type="dxa"/>
            <w:shd w:val="clear" w:color="auto" w:fill="4472C4"/>
          </w:tcPr>
          <w:p>
            <w:pPr>
              <w:spacing w:before="60" w:after="60" w:line="240" w:lineRule="auto"/>
              <w:jc w:val="center"/>
            </w:pPr>
            <w:r>
              <w:rPr>
                <w:rFonts w:ascii="Times New Roman" w:hAnsi="Times New Roman"/>
                <w:b/>
                <w:color w:val="FFFFFF"/>
                <w:sz w:val="20"/>
              </w:rPr>
              <w:t>2</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36"/>
          <w:footerReference w:type="first" r:id="rId37"/>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III</w:t>
      </w:r>
    </w:p>
    <w:p>
      <w:bookmarkStart w:id="34" w:name="bm_cap3"/>
      <w:pPr>
        <w:pStyle w:val="IUTECPCapítulo"/>
        <w:spacing w:before="480"/>
        <w:jc w:val="center"/>
      </w:pPr>
      <w:r>
        <w:rPr>
          <w:rFonts w:ascii="Times New Roman" w:hAnsi="Times New Roman"/>
          <w:b/>
          <w:sz w:val="24"/>
        </w:rPr>
        <w:t>MARCO TEÓRICO</w:t>
      </w:r>
      <w:bookmarkEnd w:id="34"/>
    </w:p>
    <w:p>
      <w:bookmarkStart w:id="35" w:name="bm_cap3_bases"/>
      <w:pPr>
        <w:pStyle w:val="IUTECPTítulo2"/>
        <w:keepNext/>
        <w:keepLines/>
        <w:spacing w:before="480" w:after="480" w:line="360" w:lineRule="auto"/>
        <w:jc w:val="left"/>
      </w:pPr>
      <w:r>
        <w:rPr>
          <w:rFonts w:ascii="Times New Roman" w:hAnsi="Times New Roman"/>
          <w:b/>
          <w:sz w:val="24"/>
        </w:rPr>
        <w:t>Procura y Gestión de Compras</w:t>
      </w:r>
      <w:bookmarkEnd w:id="35"/>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pStyle w:val="IUTECPTítulo2"/>
        <w:keepNext/>
        <w:keepLines/>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pStyle w:val="IUTECPTítulo2"/>
        <w:keepNext/>
        <w:keepLines/>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pStyle w:val="IUTECPTítulo2"/>
        <w:keepNext/>
        <w:keepLines/>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todos esos añadidos respondan a una secuencia formalmente definida. Quien elabora este trabajo considera que la simplificación no implica eliminar controles, sino reducir redundancias y clarificar responsabilidades. La propuesta formulada durante las pasantías parte de este principio y organiza los pasos necesarios para que una requisición avance de manera comprensible desde su recepción hasta el cierre de la orden de compra, manteniendo responsables, criterios de autorización y mecanismos de seguimiento que favorezcan el control administrativo del proceso.</w:t>
      </w:r>
    </w:p>
    <w:p>
      <w:pPr>
        <w:pStyle w:val="IUTECPTítulo2"/>
        <w:keepNext/>
        <w:keepLines/>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pStyle w:val="IUTECPTítulo2"/>
        <w:keepNext/>
        <w:keepLines/>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8"/>
          <w:footerReference w:type="first" r:id="rId39"/>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IV</w:t>
      </w:r>
    </w:p>
    <w:p>
      <w:bookmarkStart w:id="36" w:name="bm_cap4"/>
      <w:pPr>
        <w:pStyle w:val="IUTECPCapítulo"/>
        <w:spacing w:before="480"/>
        <w:jc w:val="center"/>
      </w:pPr>
      <w:r>
        <w:rPr>
          <w:rFonts w:ascii="Times New Roman" w:hAnsi="Times New Roman"/>
          <w:b/>
          <w:sz w:val="24"/>
        </w:rPr>
        <w:t>ACTIVIDADES REALIZADAS</w:t>
      </w:r>
      <w:bookmarkEnd w:id="36"/>
    </w:p>
    <w:p>
      <w:bookmarkStart w:id="37" w:name="bm_cap4_desc"/>
      <w:pPr>
        <w:pStyle w:val="IUTECPTítulo2"/>
        <w:keepNext/>
        <w:keepLines/>
        <w:spacing w:before="480" w:after="480" w:line="360" w:lineRule="auto"/>
        <w:jc w:val="left"/>
      </w:pPr>
      <w:r>
        <w:rPr>
          <w:rFonts w:ascii="Times New Roman" w:hAnsi="Times New Roman"/>
          <w:b/>
          <w:sz w:val="24"/>
        </w:rPr>
        <w:t>Descripción de Actividades Ejecutadas por Semana</w:t>
      </w:r>
      <w:bookmarkEnd w:id="37"/>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pStyle w:val="IUTECPTítulo2"/>
        <w:keepNext/>
        <w:keepLines/>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Observación directa del flujo de requisiciones y registro de las primeras situaciones relacionadas con la recepción, seguimiento y control de las solicitudes de compra.</w:t>
      </w:r>
    </w:p>
    <w:p>
      <w:pPr>
        <w:pStyle w:val="IUTECPTítulo2"/>
        <w:keepNext/>
        <w:keepLines/>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Levantamiento del flujo secuencial del proceso de procura mediante observación directa y conversaciones de reconocimiento con el personal encargado.</w:t>
      </w:r>
    </w:p>
    <w:p>
      <w:pPr>
        <w:pStyle w:val="IUTECPTítulo2"/>
        <w:keepNext/>
        <w:keepLines/>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Aplicación de una guía de entrevista estructurada al personal relacionado con compras y administración para identificar demoras, duplicidades y dificultades de seguimiento.</w:t>
      </w:r>
    </w:p>
    <w:p>
      <w:pPr>
        <w:pStyle w:val="IUTECPTítulo2"/>
        <w:keepNext/>
        <w:keepLines/>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Revisión de expedientes históricos y análisis de tiempos de respuesta por fase con el propósito de determinar las etapas donde se concentran los mayores retrasos.</w:t>
      </w:r>
    </w:p>
    <w:p>
      <w:pPr>
        <w:pStyle w:val="IUTECPTítulo2"/>
        <w:keepNext/>
        <w:keepLines/>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Elaboración del diagrama de Ishikawa y jerarquización de las causas asociadas con retrasos, redundancias, falta de estandarización y dificultades de trazabilidad en la procura.</w:t>
      </w:r>
    </w:p>
    <w:p>
      <w:pPr>
        <w:pStyle w:val="IUTECPTítulo2"/>
        <w:keepNext/>
        <w:keepLines/>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del nuevo flujo simplificado del proceso de procura, definiendo etapas, responsables, puntos de control y tiempos de referencia para el seguimiento administrativo; el flujo TO-BE y su distribución por responsables se presentan en los Anexos C y D.</w:t>
      </w:r>
    </w:p>
    <w:p>
      <w:pPr>
        <w:pStyle w:val="IUTECPTítulo2"/>
        <w:keepNext/>
        <w:keepLines/>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 Como apoyos de organización y asignación de responsabilidades se incorporan el SIPOC y la matriz RACI en los Anexos E y F.</w:t>
      </w:r>
    </w:p>
    <w:p>
      <w:pPr>
        <w:pStyle w:val="IUTECPTítulo2"/>
        <w:keepNext/>
        <w:keepLines/>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Redacción de la propuesta de simplificación administrativa integrando el flujo diseñado, los formatos, la matriz de autorización y los mecanismos de seguimiento.</w:t>
      </w:r>
    </w:p>
    <w:p>
      <w:pPr>
        <w:pStyle w:val="IUTECPTítulo2"/>
        <w:keepNext/>
        <w:keepLines/>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Presentación de la propuesta al tutor industrial, registro de observaciones e incorporación de ajustes al documento final.</w:t>
      </w:r>
    </w:p>
    <w:p>
      <w:pPr>
        <w:pStyle w:val="IUTECPTítulo2"/>
        <w:keepNext/>
        <w:keepLines/>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40"/>
          <w:footerReference w:type="first" r:id="rId41"/>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V</w:t>
      </w:r>
    </w:p>
    <w:p>
      <w:bookmarkStart w:id="38" w:name="bm_cap5"/>
      <w:pPr>
        <w:pStyle w:val="IUTECPCapítulo"/>
        <w:spacing w:before="480"/>
        <w:jc w:val="center"/>
      </w:pPr>
      <w:r>
        <w:rPr>
          <w:rFonts w:ascii="Times New Roman" w:hAnsi="Times New Roman"/>
          <w:b/>
          <w:sz w:val="24"/>
        </w:rPr>
        <w:t>CONCLUSIONES Y RECOMENDACIONES</w:t>
      </w:r>
      <w:bookmarkEnd w:id="38"/>
    </w:p>
    <w:p>
      <w:bookmarkStart w:id="39" w:name="bm_cap5_concl"/>
      <w:pPr>
        <w:pStyle w:val="IUTECPTítulo2"/>
        <w:keepNext/>
        <w:keepLines/>
        <w:spacing w:before="480" w:after="480" w:line="360" w:lineRule="auto"/>
        <w:jc w:val="left"/>
      </w:pPr>
      <w:r>
        <w:rPr>
          <w:rFonts w:ascii="Times New Roman" w:hAnsi="Times New Roman"/>
          <w:b/>
          <w:sz w:val="24"/>
        </w:rPr>
        <w:t>Conclusiones</w:t>
      </w:r>
      <w:bookmarkEnd w:id="39"/>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spacing w:line="360" w:lineRule="auto"/>
        <w:ind w:firstLine="709"/>
        <w:jc w:val="both"/>
      </w:pPr>
      <w:r>
        <w:rPr>
          <w:rFonts w:ascii="Times New Roman" w:hAnsi="Times New Roman"/>
          <w:sz w:val="24"/>
        </w:rPr>
        <w:t xml:space="preserve">3. </w:t>
      </w:r>
      <w:r>
        <w:rPr>
          <w:rFonts w:ascii="Times New Roman" w:hAnsi="Times New Roman"/>
          <w:sz w:val="24"/>
        </w:rPr>
        <w:t>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pPr>
        <w:spacing w:line="360" w:lineRule="auto"/>
        <w:ind w:firstLine="709"/>
        <w:jc w:val="both"/>
      </w:pPr>
      <w:r>
        <w:rPr>
          <w:rFonts w:ascii="Times New Roman" w:hAnsi="Times New Roman"/>
          <w:sz w:val="24"/>
        </w:rPr>
        <w:t xml:space="preserve">4. </w:t>
      </w:r>
      <w:r>
        <w:rPr>
          <w:rFonts w:ascii="Times New Roman" w:hAnsi="Times New Roman"/>
          <w:sz w:val="24"/>
        </w:rPr>
        <w:t>La experiencia de pasantía permitió aplicar conocimientos y competencias de Administración relacionados con planificación, organización, control, análisis de procesos y gestión documental, fortaleciendo la capacidad para relacionar la formación académica con situaciones reales del funcionamiento organizacional.</w:t>
      </w:r>
    </w:p>
    <w:p>
      <w:bookmarkStart w:id="40" w:name="bm_cap5_recom"/>
      <w:pPr>
        <w:pStyle w:val="IUTECPTítulo2"/>
        <w:keepNext/>
        <w:keepLines/>
        <w:spacing w:before="480" w:after="480" w:line="360" w:lineRule="auto"/>
        <w:jc w:val="left"/>
      </w:pPr>
      <w:r>
        <w:rPr>
          <w:rFonts w:ascii="Times New Roman" w:hAnsi="Times New Roman"/>
          <w:b/>
          <w:sz w:val="24"/>
        </w:rPr>
        <w:t>Recomendaciones</w:t>
      </w:r>
      <w:bookmarkEnd w:id="40"/>
    </w:p>
    <w:p>
      <w:pPr>
        <w:keepNext/>
        <w:spacing w:before="240" w:after="0"/>
      </w:pPr>
      <w:r>
        <w:rPr>
          <w:rFonts w:ascii="Times New Roman" w:hAnsi="Times New Roman"/>
          <w:b/>
          <w:sz w:val="24"/>
        </w:rPr>
        <w:t>A la empresa Lubricantes y Equipos Varyna, C.A.</w:t>
      </w:r>
    </w:p>
    <w:p>
      <w:pPr>
        <w:spacing w:line="360" w:lineRule="auto"/>
        <w:ind w:firstLine="709"/>
        <w:jc w:val="both"/>
      </w:pPr>
      <w:r>
        <w:rPr>
          <w:rFonts w:ascii="Times New Roman" w:hAnsi="Times New Roman"/>
          <w:sz w:val="24"/>
        </w:rPr>
        <w:t xml:space="preserve">1. </w:t>
      </w:r>
      <w:r>
        <w:rPr>
          <w:rFonts w:ascii="Times New Roman" w:hAnsi="Times New Roman"/>
          <w:sz w:val="24"/>
        </w:rPr>
        <w:t>Implementar la propuesta de manera gradual, iniciando con la formalización del canal de recepción de requisiciones y la utilización uniforme de los formatos diseñados.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flujo simplificado, los responsables y los criterios de autorización con el personal involucrado en la procura antes de su aplicación general.</w:t>
      </w:r>
    </w:p>
    <w:p>
      <w:pPr>
        <w:spacing w:line="360" w:lineRule="auto"/>
        <w:ind w:firstLine="709"/>
        <w:jc w:val="both"/>
      </w:pPr>
      <w:r>
        <w:rPr>
          <w:rFonts w:ascii="Times New Roman" w:hAnsi="Times New Roman"/>
          <w:sz w:val="24"/>
        </w:rPr>
        <w:t xml:space="preserve">3. </w:t>
      </w:r>
      <w:r>
        <w:rPr>
          <w:rFonts w:ascii="Times New Roman" w:hAnsi="Times New Roman"/>
          <w:sz w:val="24"/>
        </w:rPr>
        <w:t>Registrar mensualmente indicadores básicos, como tiempo promedio del ciclo de compra, solicitudes pendientes y requisiciones tramitadas dentro del plazo definido, para valorar los resultados de la simplificación.</w:t>
      </w:r>
    </w:p>
    <w:p>
      <w:pPr>
        <w:spacing w:line="360" w:lineRule="auto"/>
        <w:ind w:firstLine="709"/>
        <w:jc w:val="both"/>
      </w:pPr>
      <w:r>
        <w:rPr>
          <w:rFonts w:ascii="Times New Roman" w:hAnsi="Times New Roman"/>
          <w:sz w:val="24"/>
        </w:rPr>
        <w:t xml:space="preserve">4. </w:t>
      </w:r>
      <w:r>
        <w:rPr>
          <w:rFonts w:ascii="Times New Roman" w:hAnsi="Times New Roman"/>
          <w:sz w:val="24"/>
        </w:rPr>
        <w:t>Revisar periódicamente el procedimiento y los formatos con el personal del Departamento Administrativo, incorporando ajustes cuando cambien las necesidades operativas de la empresa.</w:t>
      </w:r>
    </w:p>
    <w:p>
      <w:pPr>
        <w:keepNext/>
        <w:spacing w:before="240" w:after="0"/>
      </w:pPr>
      <w:r>
        <w:rPr>
          <w:rFonts w:ascii="Times New Roman" w:hAnsi="Times New Roman"/>
          <w:b/>
          <w:sz w:val="24"/>
        </w:rPr>
        <w:t>Al Instituto Universitario de Tecnología “Elías Calixto Pompa” (IUTECP).</w:t>
      </w:r>
    </w:p>
    <w:p>
      <w:pPr>
        <w:spacing w:line="360" w:lineRule="auto"/>
        <w:ind w:firstLine="709"/>
        <w:jc w:val="both"/>
      </w:pPr>
      <w:r>
        <w:rPr>
          <w:rFonts w:ascii="Times New Roman" w:hAnsi="Times New Roman"/>
          <w:sz w:val="24"/>
        </w:rPr>
        <w:t xml:space="preserve">1. </w:t>
      </w:r>
      <w:r>
        <w:rPr>
          <w:rFonts w:ascii="Times New Roman" w:hAnsi="Times New Roman"/>
          <w:sz w:val="24"/>
        </w:rPr>
        <w:t>Continuar fortaleciendo el acompañamiento académico durante las pasantías, promoviendo la aplicación de conocimientos de planificación, organización, control y análisis de procesos frente a situaciones administrativas reales de las empresas.</w:t>
      </w:r>
    </w:p>
    <w:p>
      <w:pPr>
        <w:keepNext/>
        <w:spacing w:before="240" w:after="0"/>
      </w:pPr>
      <w:r>
        <w:rPr>
          <w:rFonts w:ascii="Times New Roman" w:hAnsi="Times New Roman"/>
          <w:b/>
          <w:sz w:val="24"/>
        </w:rPr>
        <w:t>A futuros pasantes.</w:t>
      </w:r>
    </w:p>
    <w:p>
      <w:pPr>
        <w:spacing w:line="360" w:lineRule="auto"/>
        <w:ind w:firstLine="709"/>
        <w:jc w:val="both"/>
      </w:pPr>
      <w:r>
        <w:rPr>
          <w:rFonts w:ascii="Times New Roman" w:hAnsi="Times New Roman"/>
          <w:sz w:val="24"/>
        </w:rPr>
        <w:t xml:space="preserve">1. </w:t>
      </w:r>
      <w:r>
        <w:rPr>
          <w:rFonts w:ascii="Times New Roman" w:hAnsi="Times New Roman"/>
          <w:sz w:val="24"/>
        </w:rPr>
        <w:t>Llevar un registro sistemático de las actividades desde las primeras semanas, observar los procesos administrativos, conservar las evidencias pertinentes y relacionar las tareas realizadas con los objetivos establecidos en el informe.</w:t>
      </w:r>
    </w:p>
    <w:p>
      <w:pPr>
        <w:sectPr>
          <w:footerReference w:type="default" r:id="rId42"/>
          <w:footerReference w:type="first" r:id="rId43"/>
          <w:pgSz w:w="12240" w:h="15840"/>
          <w:pgMar w:top="1701" w:right="1701" w:bottom="1701" w:left="2268" w:header="720" w:footer="720" w:gutter="0"/>
          <w:cols w:space="720"/>
          <w:titlePg/>
          <w:docGrid w:linePitch="360"/>
          <w:pgNumType w:fmt="decimal"/>
        </w:sectPr>
      </w:pPr>
    </w:p>
    <w:p>
      <w:bookmarkStart w:id="41" w:name="bm_referencias"/>
      <w:pPr>
        <w:pStyle w:val="IUTECPPreliminar"/>
        <w:keepNext/>
        <w:keepLines/>
        <w:spacing w:before="1140" w:after="480"/>
        <w:jc w:val="center"/>
      </w:pPr>
      <w:r>
        <w:rPr>
          <w:rFonts w:ascii="Times New Roman" w:hAnsi="Times New Roman"/>
          <w:b/>
          <w:sz w:val="24"/>
        </w:rPr>
        <w:t>REFERENCIAS</w:t>
      </w:r>
      <w:bookmarkEnd w:id="41"/>
    </w:p>
    <w:p>
      <w:pPr>
        <w:spacing w:before="480" w:after="0"/>
      </w:pP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Mantilla, S. (2005). </w:t>
      </w:r>
      <w:r>
        <w:rPr>
          <w:rFonts w:ascii="Times New Roman" w:hAnsi="Times New Roman"/>
          <w:b/>
          <w:sz w:val="24"/>
        </w:rPr>
        <w:t>Control interno: Informe COSO (4ta ed.)</w:t>
      </w:r>
      <w:r>
        <w:rPr>
          <w:rFonts w:ascii="Times New Roman" w:hAnsi="Times New Roman"/>
          <w:b w:val="0"/>
          <w:sz w:val="24"/>
        </w:rPr>
        <w:t>. Ecoe Ediciones, Colombia.</w:t>
      </w:r>
    </w:p>
    <w:p>
      <w:pPr>
        <w:spacing w:line="240" w:lineRule="auto" w:after="480" w:before="0"/>
        <w:ind w:left="425" w:hanging="425"/>
        <w:jc w:val="both"/>
      </w:pPr>
      <w:r>
        <w:rPr>
          <w:rFonts w:ascii="Times New Roman" w:hAnsi="Times New Roman"/>
          <w:b w:val="0"/>
          <w:sz w:val="24"/>
        </w:rPr>
        <w:t xml:space="preserve">Monterroso, E. (2002). </w:t>
      </w:r>
      <w:r>
        <w:rPr>
          <w:rFonts w:ascii="Times New Roman" w:hAnsi="Times New Roman"/>
          <w:b/>
          <w:sz w:val="24"/>
        </w:rPr>
        <w:t>El proceso de abastecimiento: El aprovisionamiento</w:t>
      </w:r>
      <w:r>
        <w:rPr>
          <w:rFonts w:ascii="Times New Roman" w:hAnsi="Times New Roman"/>
          <w:b w:val="0"/>
          <w:sz w:val="24"/>
        </w:rPr>
        <w:t>. Universidad Nacional de Luján, Argentina.</w:t>
      </w:r>
    </w:p>
    <w:p>
      <w:pPr>
        <w:sectPr>
          <w:footerReference w:type="default" r:id="rId44"/>
          <w:footerReference w:type="first" r:id="rId45"/>
          <w:pgSz w:w="12240" w:h="15840"/>
          <w:pgMar w:top="1701" w:right="1701" w:bottom="1701" w:left="2268" w:header="720" w:footer="720" w:gutter="0"/>
          <w:cols w:space="720"/>
          <w:titlePg/>
          <w:docGrid w:linePitch="360"/>
          <w:pgNumType w:fmt="decimal"/>
        </w:sectPr>
      </w:pPr>
    </w:p>
    <w:p>
      <w:bookmarkStart w:id="42" w:name="bm_anexos"/>
      <w:pPr>
        <w:spacing w:before="6075"/>
        <w:jc w:val="center"/>
      </w:pPr>
      <w:r>
        <w:rPr>
          <w:rFonts w:ascii="Times New Roman" w:hAnsi="Times New Roman"/>
          <w:b/>
          <w:sz w:val="24"/>
        </w:rPr>
        <w:t>ANEXOS</w:t>
      </w:r>
      <w:bookmarkEnd w:id="42"/>
    </w:p>
    <w:p>
      <w:pPr>
        <w:sectPr>
          <w:footerReference w:type="default" r:id="rId46"/>
          <w:pgSz w:w="12240" w:h="15840"/>
          <w:pgMar w:top="1701" w:right="1701" w:bottom="1701" w:left="2268" w:header="720" w:footer="720" w:gutter="0"/>
          <w:cols w:space="720"/>
          <w:docGrid w:linePitch="360"/>
          <w:pgNumType w:fmt="decimal"/>
        </w:sectPr>
      </w:pPr>
    </w:p>
    <w:p>
      <w:bookmarkStart w:id="43" w:name="bm_anexoA"/>
      <w:pPr>
        <w:keepNext/>
        <w:keepLines/>
        <w:spacing w:before="0" w:after="480"/>
        <w:jc w:val="center"/>
      </w:pPr>
      <w:bookmarkEnd w:id="43"/>
      <w:r>
        <w:rPr>
          <w:rFonts w:ascii="Times New Roman" w:hAnsi="Times New Roman"/>
          <w:b/>
          <w:sz w:val="20"/>
        </w:rPr>
        <w:t>ANEXO A</w:t>
      </w:r>
    </w:p>
    <w:p>
      <w:pPr>
        <w:keepNext/>
        <w:keepLines/>
        <w:spacing w:before="240" w:after="480"/>
        <w:jc w:val="center"/>
      </w:pPr>
      <w:r>
        <w:rPr>
          <w:rFonts w:ascii="Times New Roman" w:hAnsi="Times New Roman"/>
          <w:b/>
          <w:sz w:val="20"/>
        </w:rPr>
        <w:t>[Diagrama de Ishikawa definitivo de las causas asociadas a las demoras y pérdida de trazabilidad del proceso de procura]</w:t>
      </w:r>
    </w:p>
    <w:p>
      <w:pPr>
        <w:keepNext/>
        <w:keepLines/>
        <w:jc w:val="center"/>
      </w:pPr>
      <w:r>
        <w:drawing>
          <wp:inline xmlns:a="http://schemas.openxmlformats.org/drawingml/2006/main" xmlns:pic="http://schemas.openxmlformats.org/drawingml/2006/picture">
            <wp:extent cx="5040000" cy="1524534"/>
            <wp:docPr id="7" name="Picture 7"/>
            <wp:cNvGraphicFramePr>
              <a:graphicFrameLocks noChangeAspect="1"/>
            </wp:cNvGraphicFramePr>
            <a:graphic>
              <a:graphicData uri="http://schemas.openxmlformats.org/drawingml/2006/picture">
                <pic:pic>
                  <pic:nvPicPr>
                    <pic:cNvPr id="0" name="ishikawa_keidy_procura.png"/>
                    <pic:cNvPicPr/>
                  </pic:nvPicPr>
                  <pic:blipFill>
                    <a:blip r:embed="rId15"/>
                    <a:stretch>
                      <a:fillRect/>
                    </a:stretch>
                  </pic:blipFill>
                  <pic:spPr>
                    <a:xfrm>
                      <a:off x="0" y="0"/>
                      <a:ext cx="5040000" cy="1524534"/>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7"/>
          <w:pgSz w:w="12240" w:h="15840"/>
          <w:pgMar w:top="1701" w:right="1701" w:bottom="1701" w:left="2268" w:header="720" w:footer="720" w:gutter="0"/>
          <w:cols w:space="720"/>
          <w:docGrid w:linePitch="360"/>
          <w:pgNumType w:fmt="decimal"/>
        </w:sectPr>
      </w:pPr>
    </w:p>
    <w:p>
      <w:bookmarkStart w:id="44" w:name="bm_anexoB"/>
      <w:pPr>
        <w:keepNext/>
        <w:keepLines/>
        <w:spacing w:before="0" w:after="480"/>
        <w:jc w:val="center"/>
      </w:pPr>
      <w:bookmarkEnd w:id="44"/>
      <w:r>
        <w:rPr>
          <w:rFonts w:ascii="Times New Roman" w:hAnsi="Times New Roman"/>
          <w:b/>
          <w:sz w:val="20"/>
        </w:rPr>
        <w:t>ANEXO B</w:t>
      </w:r>
    </w:p>
    <w:p>
      <w:pPr>
        <w:keepNext/>
        <w:keepLines/>
        <w:spacing w:before="240" w:after="480"/>
        <w:jc w:val="center"/>
      </w:pPr>
      <w:r>
        <w:rPr>
          <w:rFonts w:ascii="Times New Roman" w:hAnsi="Times New Roman"/>
          <w:b/>
          <w:sz w:val="20"/>
        </w:rPr>
        <w:t>[Flujograma AS-IS del proceso actual de procura]</w:t>
      </w:r>
    </w:p>
    <w:p>
      <w:pPr>
        <w:keepNext/>
        <w:keepLines/>
        <w:jc w:val="center"/>
      </w:pPr>
      <w:r>
        <w:drawing>
          <wp:inline xmlns:a="http://schemas.openxmlformats.org/drawingml/2006/main" xmlns:pic="http://schemas.openxmlformats.org/drawingml/2006/picture">
            <wp:extent cx="2763891" cy="5400000"/>
            <wp:docPr id="8" name="Picture 8"/>
            <wp:cNvGraphicFramePr>
              <a:graphicFrameLocks noChangeAspect="1"/>
            </wp:cNvGraphicFramePr>
            <a:graphic>
              <a:graphicData uri="http://schemas.openxmlformats.org/drawingml/2006/picture">
                <pic:pic>
                  <pic:nvPicPr>
                    <pic:cNvPr id="0" name="02_flujo_as_is_procura.png"/>
                    <pic:cNvPicPr/>
                  </pic:nvPicPr>
                  <pic:blipFill>
                    <a:blip r:embed="rId16"/>
                    <a:stretch>
                      <a:fillRect/>
                    </a:stretch>
                  </pic:blipFill>
                  <pic:spPr>
                    <a:xfrm>
                      <a:off x="0" y="0"/>
                      <a:ext cx="2763891"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8"/>
          <w:pgSz w:w="12240" w:h="15840"/>
          <w:pgMar w:top="1701" w:right="1701" w:bottom="1701" w:left="2268" w:header="720" w:footer="720" w:gutter="0"/>
          <w:cols w:space="720"/>
          <w:docGrid w:linePitch="360"/>
          <w:pgNumType w:fmt="decimal"/>
        </w:sectPr>
      </w:pPr>
    </w:p>
    <w:p>
      <w:bookmarkStart w:id="45" w:name="bm_anexoC"/>
      <w:pPr>
        <w:keepNext/>
        <w:keepLines/>
        <w:spacing w:before="0" w:after="480"/>
        <w:jc w:val="center"/>
      </w:pPr>
      <w:bookmarkEnd w:id="45"/>
      <w:r>
        <w:rPr>
          <w:rFonts w:ascii="Times New Roman" w:hAnsi="Times New Roman"/>
          <w:b/>
          <w:sz w:val="20"/>
        </w:rPr>
        <w:t>ANEXO C</w:t>
      </w:r>
    </w:p>
    <w:p>
      <w:pPr>
        <w:keepNext/>
        <w:keepLines/>
        <w:spacing w:before="240" w:after="480"/>
        <w:jc w:val="center"/>
      </w:pPr>
      <w:r>
        <w:rPr>
          <w:rFonts w:ascii="Times New Roman" w:hAnsi="Times New Roman"/>
          <w:b/>
          <w:sz w:val="20"/>
        </w:rPr>
        <w:t>[Flujograma TO-BE del proceso simplificado propuesto]</w:t>
      </w:r>
    </w:p>
    <w:p>
      <w:pPr>
        <w:keepNext/>
        <w:keepLines/>
        <w:jc w:val="center"/>
      </w:pPr>
      <w:r>
        <w:drawing>
          <wp:inline xmlns:a="http://schemas.openxmlformats.org/drawingml/2006/main" xmlns:pic="http://schemas.openxmlformats.org/drawingml/2006/picture">
            <wp:extent cx="2205488" cy="5400000"/>
            <wp:docPr id="9" name="Picture 9"/>
            <wp:cNvGraphicFramePr>
              <a:graphicFrameLocks noChangeAspect="1"/>
            </wp:cNvGraphicFramePr>
            <a:graphic>
              <a:graphicData uri="http://schemas.openxmlformats.org/drawingml/2006/picture">
                <pic:pic>
                  <pic:nvPicPr>
                    <pic:cNvPr id="0" name="03_flujo_to_be_procura.png"/>
                    <pic:cNvPicPr/>
                  </pic:nvPicPr>
                  <pic:blipFill>
                    <a:blip r:embed="rId17"/>
                    <a:stretch>
                      <a:fillRect/>
                    </a:stretch>
                  </pic:blipFill>
                  <pic:spPr>
                    <a:xfrm>
                      <a:off x="0" y="0"/>
                      <a:ext cx="2205488"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9"/>
          <w:pgSz w:w="12240" w:h="15840"/>
          <w:pgMar w:top="1701" w:right="1701" w:bottom="1701" w:left="2268" w:header="720" w:footer="720" w:gutter="0"/>
          <w:cols w:space="720"/>
          <w:docGrid w:linePitch="360"/>
          <w:pgNumType w:fmt="decimal"/>
        </w:sectPr>
      </w:pPr>
    </w:p>
    <w:p>
      <w:bookmarkStart w:id="46" w:name="bm_anexoD"/>
      <w:pPr>
        <w:keepNext/>
        <w:keepLines/>
        <w:spacing w:before="0" w:after="480"/>
        <w:jc w:val="center"/>
      </w:pPr>
      <w:bookmarkEnd w:id="46"/>
      <w:r>
        <w:rPr>
          <w:rFonts w:ascii="Times New Roman" w:hAnsi="Times New Roman"/>
          <w:b/>
          <w:sz w:val="20"/>
        </w:rPr>
        <w:t>ANEXO D</w:t>
      </w:r>
    </w:p>
    <w:p>
      <w:pPr>
        <w:keepNext/>
        <w:keepLines/>
        <w:spacing w:before="240" w:after="480"/>
        <w:jc w:val="center"/>
      </w:pPr>
      <w:r>
        <w:rPr>
          <w:rFonts w:ascii="Times New Roman" w:hAnsi="Times New Roman"/>
          <w:b/>
          <w:sz w:val="20"/>
        </w:rPr>
        <w:t>[Swimlane del proceso propuesto de procura]</w:t>
      </w:r>
    </w:p>
    <w:p>
      <w:pPr>
        <w:keepNext/>
        <w:keepLines/>
        <w:jc w:val="center"/>
      </w:pPr>
      <w:r>
        <w:drawing>
          <wp:inline xmlns:a="http://schemas.openxmlformats.org/drawingml/2006/main" xmlns:pic="http://schemas.openxmlformats.org/drawingml/2006/picture">
            <wp:extent cx="5040000" cy="4543987"/>
            <wp:docPr id="10" name="Picture 10"/>
            <wp:cNvGraphicFramePr>
              <a:graphicFrameLocks noChangeAspect="1"/>
            </wp:cNvGraphicFramePr>
            <a:graphic>
              <a:graphicData uri="http://schemas.openxmlformats.org/drawingml/2006/picture">
                <pic:pic>
                  <pic:nvPicPr>
                    <pic:cNvPr id="0" name="04_swimlane_procura.png"/>
                    <pic:cNvPicPr/>
                  </pic:nvPicPr>
                  <pic:blipFill>
                    <a:blip r:embed="rId18"/>
                    <a:stretch>
                      <a:fillRect/>
                    </a:stretch>
                  </pic:blipFill>
                  <pic:spPr>
                    <a:xfrm>
                      <a:off x="0" y="0"/>
                      <a:ext cx="5040000" cy="454398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0"/>
          <w:pgSz w:w="12240" w:h="15840"/>
          <w:pgMar w:top="1701" w:right="1701" w:bottom="1701" w:left="2268" w:header="720" w:footer="720" w:gutter="0"/>
          <w:cols w:space="720"/>
          <w:docGrid w:linePitch="360"/>
          <w:pgNumType w:fmt="decimal"/>
        </w:sectPr>
      </w:pPr>
    </w:p>
    <w:p>
      <w:bookmarkStart w:id="47" w:name="bm_anexoE"/>
      <w:pPr>
        <w:keepNext/>
        <w:keepLines/>
        <w:spacing w:before="0" w:after="480"/>
        <w:jc w:val="center"/>
      </w:pPr>
      <w:bookmarkEnd w:id="47"/>
      <w:r>
        <w:rPr>
          <w:rFonts w:ascii="Times New Roman" w:hAnsi="Times New Roman"/>
          <w:b/>
          <w:sz w:val="20"/>
        </w:rPr>
        <w:t>ANEXO E</w:t>
      </w:r>
    </w:p>
    <w:p>
      <w:pPr>
        <w:keepNext/>
        <w:keepLines/>
        <w:spacing w:before="240" w:after="480"/>
        <w:jc w:val="center"/>
      </w:pPr>
      <w:r>
        <w:rPr>
          <w:rFonts w:ascii="Times New Roman" w:hAnsi="Times New Roman"/>
          <w:b/>
          <w:sz w:val="20"/>
        </w:rPr>
        <w:t>[SIPOC del proceso de procura]</w:t>
      </w:r>
    </w:p>
    <w:p>
      <w:pPr>
        <w:keepNext/>
        <w:keepLines/>
        <w:jc w:val="center"/>
      </w:pPr>
      <w:r>
        <w:drawing>
          <wp:inline xmlns:a="http://schemas.openxmlformats.org/drawingml/2006/main" xmlns:pic="http://schemas.openxmlformats.org/drawingml/2006/picture">
            <wp:extent cx="4397917" cy="5040000"/>
            <wp:docPr id="11" name="Picture 11"/>
            <wp:cNvGraphicFramePr>
              <a:graphicFrameLocks noChangeAspect="1"/>
            </wp:cNvGraphicFramePr>
            <a:graphic>
              <a:graphicData uri="http://schemas.openxmlformats.org/drawingml/2006/picture">
                <pic:pic>
                  <pic:nvPicPr>
                    <pic:cNvPr id="0" name="05_sipoc_procura.png"/>
                    <pic:cNvPicPr/>
                  </pic:nvPicPr>
                  <pic:blipFill>
                    <a:blip r:embed="rId19"/>
                    <a:stretch>
                      <a:fillRect/>
                    </a:stretch>
                  </pic:blipFill>
                  <pic:spPr>
                    <a:xfrm>
                      <a:off x="0" y="0"/>
                      <a:ext cx="4397917" cy="504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1"/>
          <w:pgSz w:w="12240" w:h="15840"/>
          <w:pgMar w:top="1701" w:right="1701" w:bottom="1701" w:left="2268" w:header="720" w:footer="720" w:gutter="0"/>
          <w:cols w:space="720"/>
          <w:docGrid w:linePitch="360"/>
          <w:pgNumType w:fmt="decimal"/>
        </w:sectPr>
      </w:pPr>
    </w:p>
    <w:p>
      <w:bookmarkStart w:id="48" w:name="bm_anexoF"/>
      <w:pPr>
        <w:keepNext/>
        <w:keepLines/>
        <w:spacing w:before="0" w:after="480"/>
        <w:jc w:val="center"/>
      </w:pPr>
      <w:bookmarkEnd w:id="48"/>
      <w:r>
        <w:rPr>
          <w:rFonts w:ascii="Times New Roman" w:hAnsi="Times New Roman"/>
          <w:b/>
          <w:sz w:val="20"/>
        </w:rPr>
        <w:t>ANEXO F</w:t>
      </w:r>
    </w:p>
    <w:p>
      <w:pPr>
        <w:keepNext/>
        <w:keepLines/>
        <w:spacing w:before="240" w:after="480"/>
        <w:jc w:val="center"/>
      </w:pPr>
      <w:r>
        <w:rPr>
          <w:rFonts w:ascii="Times New Roman" w:hAnsi="Times New Roman"/>
          <w:b/>
          <w:sz w:val="20"/>
        </w:rPr>
        <w:t>[Matriz RACI propuesta del proceso de procura]</w:t>
      </w:r>
    </w:p>
    <w:p>
      <w:pPr>
        <w:keepNext/>
        <w:keepLines/>
        <w:jc w:val="center"/>
      </w:pPr>
      <w:r>
        <w:drawing>
          <wp:inline xmlns:a="http://schemas.openxmlformats.org/drawingml/2006/main" xmlns:pic="http://schemas.openxmlformats.org/drawingml/2006/picture">
            <wp:extent cx="5040000" cy="1349827"/>
            <wp:docPr id="12" name="Picture 12"/>
            <wp:cNvGraphicFramePr>
              <a:graphicFrameLocks noChangeAspect="1"/>
            </wp:cNvGraphicFramePr>
            <a:graphic>
              <a:graphicData uri="http://schemas.openxmlformats.org/drawingml/2006/picture">
                <pic:pic>
                  <pic:nvPicPr>
                    <pic:cNvPr id="0" name="06_matriz_raci_propuesta.png"/>
                    <pic:cNvPicPr/>
                  </pic:nvPicPr>
                  <pic:blipFill>
                    <a:blip r:embed="rId20"/>
                    <a:stretch>
                      <a:fillRect/>
                    </a:stretch>
                  </pic:blipFill>
                  <pic:spPr>
                    <a:xfrm>
                      <a:off x="0" y="0"/>
                      <a:ext cx="5040000" cy="134982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sectPr w:rsidR="00FC693F" w:rsidRPr="0006063C" w:rsidSect="00034616">
      <w:footerReference w:type="default" r:id="rId52"/>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footer" Target="footer4.xml"/><Relationship Id="rId25" Type="http://schemas.openxmlformats.org/officeDocument/2006/relationships/footer" Target="footer5.xml"/><Relationship Id="rId26" Type="http://schemas.openxmlformats.org/officeDocument/2006/relationships/footer" Target="footer6.xml"/><Relationship Id="rId27" Type="http://schemas.openxmlformats.org/officeDocument/2006/relationships/footer" Target="footer7.xml"/><Relationship Id="rId28" Type="http://schemas.openxmlformats.org/officeDocument/2006/relationships/footer" Target="footer8.xml"/><Relationship Id="rId29" Type="http://schemas.openxmlformats.org/officeDocument/2006/relationships/footer" Target="footer9.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footer" Target="footer15.xml"/><Relationship Id="rId36" Type="http://schemas.openxmlformats.org/officeDocument/2006/relationships/footer" Target="footer16.xml"/><Relationship Id="rId37" Type="http://schemas.openxmlformats.org/officeDocument/2006/relationships/footer" Target="footer17.xml"/><Relationship Id="rId38" Type="http://schemas.openxmlformats.org/officeDocument/2006/relationships/footer" Target="footer18.xml"/><Relationship Id="rId39" Type="http://schemas.openxmlformats.org/officeDocument/2006/relationships/footer" Target="footer19.xml"/><Relationship Id="rId40" Type="http://schemas.openxmlformats.org/officeDocument/2006/relationships/footer" Target="footer20.xml"/><Relationship Id="rId41" Type="http://schemas.openxmlformats.org/officeDocument/2006/relationships/footer" Target="footer21.xml"/><Relationship Id="rId42" Type="http://schemas.openxmlformats.org/officeDocument/2006/relationships/footer" Target="footer22.xml"/><Relationship Id="rId43" Type="http://schemas.openxmlformats.org/officeDocument/2006/relationships/footer" Target="footer23.xml"/><Relationship Id="rId44" Type="http://schemas.openxmlformats.org/officeDocument/2006/relationships/footer" Target="footer24.xml"/><Relationship Id="rId45" Type="http://schemas.openxmlformats.org/officeDocument/2006/relationships/footer" Target="footer25.xml"/><Relationship Id="rId46" Type="http://schemas.openxmlformats.org/officeDocument/2006/relationships/footer" Target="footer26.xml"/><Relationship Id="rId47" Type="http://schemas.openxmlformats.org/officeDocument/2006/relationships/footer" Target="footer27.xml"/><Relationship Id="rId48" Type="http://schemas.openxmlformats.org/officeDocument/2006/relationships/footer" Target="footer28.xml"/><Relationship Id="rId49" Type="http://schemas.openxmlformats.org/officeDocument/2006/relationships/footer" Target="footer29.xml"/><Relationship Id="rId50" Type="http://schemas.openxmlformats.org/officeDocument/2006/relationships/footer" Target="footer30.xml"/><Relationship Id="rId51" Type="http://schemas.openxmlformats.org/officeDocument/2006/relationships/footer" Target="footer31.xml"/><Relationship Id="rId52"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