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Culminar el diagnóstico situacional estructurando el diagrama de Ishikawa y fundamentar la investigación teóricamente.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el análisis formal de la situación problemática identificada en el Departamento de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Diagramación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Construir el diagrama de espina de pescado (causa-efecto) para representar las causas de la pérdida de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Herramientas de dibujo,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antecedentes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Buscar investigaciones previas relacionadas con el control administrativo y la gestión de servicios en telecomunicaciones.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Buscadores web, biblioteca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Definición de bases teóricas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los conceptos clave sobre control interno administrativo, procesos, trazabilidad y sistemas de tickets.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Libros digitales de administración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Compilación del 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Estructurar el Capítulo II y las bases teóricas del informe final de pasantías según la norma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Sección del Diagnóstico Situacional (Capítulo II), diagrama de Ishikawa causa-efecto digital y primer borrador del marco teórico.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estructuró de manera excelente el diagnóstico. El diagrama de Ishikawa refleja claramente los vacíos que tenemos en el control de tickets y el canal comercial.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