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 Juliano Cardona</w:t>
        <w:br/>
      </w:r>
      <w:r>
        <w:rPr>
          <w:rFonts w:ascii="Times New Roman" w:hAnsi="Times New Roman"/>
          <w:b/>
          <w:sz w:val="24"/>
        </w:rPr>
        <w:t>C.I.: 32.281.199</w:t>
        <w:br/>
      </w:r>
      <w:r>
        <w:rPr>
          <w:rFonts w:ascii="Times New Roman" w:hAnsi="Times New Roman"/>
          <w:b/>
          <w:sz w:val="24"/>
        </w:rPr>
        <w:br/>
      </w:r>
      <w:r>
        <w:rPr>
          <w:rFonts w:ascii="Times New Roman" w:hAnsi="Times New Roman"/>
          <w:b/>
          <w:sz w:val="24"/>
        </w:rPr>
        <w:t>Tutor Industrial: 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 Lic. Carlos Mendoza</w:t>
      </w:r>
    </w:p>
    <w:p>
      <w:pPr>
        <w:spacing w:line="276" w:lineRule="auto" w:before="929"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 Juliano Cardona</w:t>
        <w:br/>
      </w:r>
      <w:r>
        <w:rPr>
          <w:rFonts w:ascii="Times New Roman" w:hAnsi="Times New Roman"/>
          <w:b/>
          <w:sz w:val="24"/>
        </w:rPr>
        <w:t>C.I.: 32.281.199</w:t>
        <w:br/>
      </w:r>
      <w:r>
        <w:rPr>
          <w:rFonts w:ascii="Times New Roman" w:hAnsi="Times New Roman"/>
          <w:b/>
          <w:sz w:val="24"/>
        </w:rPr>
        <w:br/>
      </w:r>
      <w:r>
        <w:rPr>
          <w:rFonts w:ascii="Times New Roman" w:hAnsi="Times New Roman"/>
          <w:b/>
          <w:sz w:val="24"/>
        </w:rPr>
        <w:t>Tutor Industrial: 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 Lic. Carlos Mendoza</w:t>
      </w:r>
    </w:p>
    <w:p>
      <w:pPr>
        <w:spacing w:line="276" w:lineRule="auto" w:before="92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3"/>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4"/>
          <w:type w:val="continuous"/>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6"/>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9"/>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0000"/>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880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ocho (8)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5386"/>
        <w:gridCol w:w="360"/>
        <w:gridCol w:w="360"/>
        <w:gridCol w:w="360"/>
        <w:gridCol w:w="360"/>
        <w:gridCol w:w="360"/>
        <w:gridCol w:w="360"/>
        <w:gridCol w:w="360"/>
        <w:gridCol w:w="360"/>
      </w:tblGrid>
      <w:tr>
        <w:tc>
          <w:tcPr>
            <w:tcW w:w="5386"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360" w:type="dxa"/>
            <w:shd w:val="clear" w:color="auto" w:fill="4472C4"/>
          </w:tcPr>
          <w:p>
            <w:pPr>
              <w:spacing w:before="60" w:after="60" w:line="240" w:lineRule="auto"/>
              <w:jc w:val="center"/>
            </w:pPr>
            <w:r>
              <w:rPr>
                <w:rFonts w:ascii="Times New Roman" w:hAnsi="Times New Roman"/>
                <w:b/>
                <w:color w:val="FFFFFF"/>
                <w:sz w:val="18"/>
              </w:rPr>
              <w:t>S1</w:t>
            </w:r>
          </w:p>
        </w:tc>
        <w:tc>
          <w:tcPr>
            <w:tcW w:w="360" w:type="dxa"/>
            <w:shd w:val="clear" w:color="auto" w:fill="4472C4"/>
          </w:tcPr>
          <w:p>
            <w:pPr>
              <w:spacing w:before="60" w:after="60" w:line="240" w:lineRule="auto"/>
              <w:jc w:val="center"/>
            </w:pPr>
            <w:r>
              <w:rPr>
                <w:rFonts w:ascii="Times New Roman" w:hAnsi="Times New Roman"/>
                <w:b/>
                <w:color w:val="FFFFFF"/>
                <w:sz w:val="18"/>
              </w:rPr>
              <w:t>S2</w:t>
            </w:r>
          </w:p>
        </w:tc>
        <w:tc>
          <w:tcPr>
            <w:tcW w:w="360" w:type="dxa"/>
            <w:shd w:val="clear" w:color="auto" w:fill="4472C4"/>
          </w:tcPr>
          <w:p>
            <w:pPr>
              <w:spacing w:before="60" w:after="60" w:line="240" w:lineRule="auto"/>
              <w:jc w:val="center"/>
            </w:pPr>
            <w:r>
              <w:rPr>
                <w:rFonts w:ascii="Times New Roman" w:hAnsi="Times New Roman"/>
                <w:b/>
                <w:color w:val="FFFFFF"/>
                <w:sz w:val="18"/>
              </w:rPr>
              <w:t>S3</w:t>
            </w:r>
          </w:p>
        </w:tc>
        <w:tc>
          <w:tcPr>
            <w:tcW w:w="360" w:type="dxa"/>
            <w:shd w:val="clear" w:color="auto" w:fill="4472C4"/>
          </w:tcPr>
          <w:p>
            <w:pPr>
              <w:spacing w:before="60" w:after="60" w:line="240" w:lineRule="auto"/>
              <w:jc w:val="center"/>
            </w:pPr>
            <w:r>
              <w:rPr>
                <w:rFonts w:ascii="Times New Roman" w:hAnsi="Times New Roman"/>
                <w:b/>
                <w:color w:val="FFFFFF"/>
                <w:sz w:val="18"/>
              </w:rPr>
              <w:t>S4</w:t>
            </w:r>
          </w:p>
        </w:tc>
        <w:tc>
          <w:tcPr>
            <w:tcW w:w="360" w:type="dxa"/>
            <w:shd w:val="clear" w:color="auto" w:fill="4472C4"/>
          </w:tcPr>
          <w:p>
            <w:pPr>
              <w:spacing w:before="60" w:after="60" w:line="240" w:lineRule="auto"/>
              <w:jc w:val="center"/>
            </w:pPr>
            <w:r>
              <w:rPr>
                <w:rFonts w:ascii="Times New Roman" w:hAnsi="Times New Roman"/>
                <w:b/>
                <w:color w:val="FFFFFF"/>
                <w:sz w:val="18"/>
              </w:rPr>
              <w:t>S5</w:t>
            </w:r>
          </w:p>
        </w:tc>
        <w:tc>
          <w:tcPr>
            <w:tcW w:w="360" w:type="dxa"/>
            <w:shd w:val="clear" w:color="auto" w:fill="4472C4"/>
          </w:tcPr>
          <w:p>
            <w:pPr>
              <w:spacing w:before="60" w:after="60" w:line="240" w:lineRule="auto"/>
              <w:jc w:val="center"/>
            </w:pPr>
            <w:r>
              <w:rPr>
                <w:rFonts w:ascii="Times New Roman" w:hAnsi="Times New Roman"/>
                <w:b/>
                <w:color w:val="FFFFFF"/>
                <w:sz w:val="18"/>
              </w:rPr>
              <w:t>S6</w:t>
            </w:r>
          </w:p>
        </w:tc>
        <w:tc>
          <w:tcPr>
            <w:tcW w:w="360" w:type="dxa"/>
            <w:shd w:val="clear" w:color="auto" w:fill="4472C4"/>
          </w:tcPr>
          <w:p>
            <w:pPr>
              <w:spacing w:before="60" w:after="60" w:line="240" w:lineRule="auto"/>
              <w:jc w:val="center"/>
            </w:pPr>
            <w:r>
              <w:rPr>
                <w:rFonts w:ascii="Times New Roman" w:hAnsi="Times New Roman"/>
                <w:b/>
                <w:color w:val="FFFFFF"/>
                <w:sz w:val="18"/>
              </w:rPr>
              <w:t>S7</w:t>
            </w:r>
          </w:p>
        </w:tc>
        <w:tc>
          <w:tcPr>
            <w:tcW w:w="360" w:type="dxa"/>
            <w:shd w:val="clear" w:color="auto" w:fill="4472C4"/>
          </w:tcPr>
          <w:p>
            <w:pPr>
              <w:spacing w:before="60" w:after="60" w:line="240" w:lineRule="auto"/>
              <w:jc w:val="center"/>
            </w:pPr>
            <w:r>
              <w:rPr>
                <w:rFonts w:ascii="Times New Roman" w:hAnsi="Times New Roman"/>
                <w:b/>
                <w:color w:val="FFFFFF"/>
                <w:sz w:val="18"/>
              </w:rPr>
              <w:t>S8</w:t>
            </w:r>
          </w:p>
        </w:tc>
      </w:tr>
      <w:tr>
        <w:tc>
          <w:tcPr>
            <w:tcW w:w="5386" w:type="dxa"/>
            <w:shd w:val="clear" w:color="auto" w:fill="FFFFFF"/>
          </w:tcPr>
          <w:p>
            <w:pPr>
              <w:spacing w:before="60" w:after="60" w:line="240" w:lineRule="auto"/>
              <w:jc w:val="both"/>
            </w:pPr>
            <w:r>
              <w:rPr>
                <w:rFonts w:ascii="Times New Roman" w:hAnsi="Times New Roman"/>
                <w:b w:val="0"/>
                <w:color w:val="000000"/>
                <w:sz w:val="20"/>
              </w:rPr>
              <w:t>Diagnóstico del flujo documental y debilidades del Excel.</w:t>
            </w:r>
          </w:p>
        </w:tc>
        <w:tc>
          <w:tcPr>
            <w:tcW w:w="360" w:type="dxa"/>
            <w:shd w:val="clear" w:color="auto" w:fill="70AD47"/>
          </w:tcPr>
          <w:p>
            <w:pPr>
              <w:spacing w:before="60" w:after="60" w:line="240" w:lineRule="auto"/>
              <w:jc w:val="center"/>
            </w:pPr>
            <w:r>
              <w:rPr>
                <w:rFonts w:ascii="Times New Roman" w:hAnsi="Times New Roman"/>
                <w:b w:val="0"/>
                <w:color w:val="FFFFFF"/>
                <w:sz w:val="18"/>
              </w:rPr>
              <w:t>✓</w:t>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Diseño del modelo relacional y diccionario de datos.</w:t>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70AD47"/>
          </w:tcPr>
          <w:p>
            <w:pPr>
              <w:spacing w:before="60" w:after="60" w:line="240" w:lineRule="auto"/>
              <w:jc w:val="center"/>
            </w:pPr>
            <w:r>
              <w:rPr>
                <w:rFonts w:ascii="Times New Roman" w:hAnsi="Times New Roman"/>
                <w:b w:val="0"/>
                <w:color w:val="FFFFFF"/>
                <w:sz w:val="18"/>
              </w:rPr>
              <w:t>✓</w:t>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Despliegue de la DB en SQLite y maquetado lógico.</w:t>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70AD47"/>
          </w:tcPr>
          <w:p>
            <w:pPr>
              <w:spacing w:before="60" w:after="60" w:line="240" w:lineRule="auto"/>
              <w:jc w:val="center"/>
            </w:pPr>
            <w:r>
              <w:rPr>
                <w:rFonts w:ascii="Times New Roman" w:hAnsi="Times New Roman"/>
                <w:b w:val="0"/>
                <w:color w:val="FFFFFF"/>
                <w:sz w:val="18"/>
              </w:rPr>
              <w:t>✓</w:t>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Programación de interfaces gráficas mediante código HTML.</w:t>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70AD47"/>
          </w:tcPr>
          <w:p>
            <w:pPr>
              <w:spacing w:before="60" w:after="60" w:line="240" w:lineRule="auto"/>
              <w:jc w:val="center"/>
            </w:pPr>
            <w:r>
              <w:rPr>
                <w:rFonts w:ascii="Times New Roman" w:hAnsi="Times New Roman"/>
                <w:b w:val="0"/>
                <w:color w:val="FFFFFF"/>
                <w:sz w:val="18"/>
              </w:rPr>
              <w:t>✓</w:t>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Empaquetado de la aplicación de escritorio usando Wails.</w:t>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70AD47"/>
          </w:tcPr>
          <w:p>
            <w:pPr>
              <w:spacing w:before="60" w:after="60" w:line="240" w:lineRule="auto"/>
              <w:jc w:val="center"/>
            </w:pPr>
            <w:r>
              <w:rPr>
                <w:rFonts w:ascii="Times New Roman" w:hAnsi="Times New Roman"/>
                <w:b w:val="0"/>
                <w:color w:val="FFFFFF"/>
                <w:sz w:val="18"/>
              </w:rPr>
              <w:t>✓</w:t>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Integración con la base de datos y desarrollo de consultas.</w:t>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70AD47"/>
          </w:tcPr>
          <w:p>
            <w:pPr>
              <w:spacing w:before="60" w:after="60" w:line="240" w:lineRule="auto"/>
              <w:jc w:val="center"/>
            </w:pPr>
            <w:r>
              <w:rPr>
                <w:rFonts w:ascii="Times New Roman" w:hAnsi="Times New Roman"/>
                <w:b w:val="0"/>
                <w:color w:val="FFFFFF"/>
                <w:sz w:val="18"/>
              </w:rPr>
              <w:t>✓</w:t>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Pruebas funcionales de trazabilidad y generación de reportes.</w:t>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70AD47"/>
          </w:tcPr>
          <w:p>
            <w:pPr>
              <w:spacing w:before="60" w:after="60" w:line="240" w:lineRule="auto"/>
              <w:jc w:val="center"/>
            </w:pPr>
            <w:r>
              <w:rPr>
                <w:rFonts w:ascii="Times New Roman" w:hAnsi="Times New Roman"/>
                <w:b w:val="0"/>
                <w:color w:val="FFFFFF"/>
                <w:sz w:val="18"/>
              </w:rPr>
              <w:t>✓</w:t>
            </w:r>
          </w:p>
        </w:tc>
        <w:tc>
          <w:tcPr>
            <w:tcW w:w="360"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Consolidación técnica y redacción del informe final.</w:t>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ocho (8)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al Departamento de Presidencia, reconocimiento del flujo procedimental de recepción, revisión y despacho de expedientes, y familiarización con el personal administrativo y las herramientas de registro en uso.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Inicio del diagnóstico situacional mediante observación directa del proceso documental, identificación de las debilidades del sistema de registro manual y formulación preliminar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las labores de recepción y registro de expedientes del departamento, aplicando los procedimientos establecidos bajo supervisión de la tutora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diagnóstico situacional en sus tres niveles (macro, meso y micro) y definición de los objetivos general y específicos del proyecto factible.</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las tareas de revisión ortográfica y de formato de correspondencia presidencial, y apoyo en el registro de salida de expedientes firmados.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modelo relacional de la base de datos, aplicación de reglas de normalización y elaboración del diccionario de datos con los campos requeridos por el departamento.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 organización y archivo físico de expedientes del período, apoyando al personal en la gestión del volumen documental concurrente.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Despliegue del esquema de la base de datos en el motor SQLite y verificación del correcto almacenamiento de registros de prueba según el modelo diseñado.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de resúmenes de estatus de expedientes solicitados por la directiva, aplicando los registros existentes en las hojas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estructuración de la interfaz gráfica de usuario mediante código HTML, definiendo los módulos de ingreso, consulta y reporte de movimientos documentales.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canalización de correspondencia presidencial, manteniendo el flujo operativo regular del departamento durante el desarrollo del proyecto.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del entorno visual web como aplicación de escritorio autónoma mediante el framework Wails e integración con la base de datos SQLite local.</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manual de reportes de expedientes para la alta dirección, documentando simultáneamente los requerimientos de reporte que guiarán la validación del sistema.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trazabilidad y generación de reportes.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presentación del prototipo funcional ante la tutora industrial para su evaluación y retroalimentación.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 los manuales técnicos del sistema, estructuración final del código fuente y consolidación del informe académico de pasantías.</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footer" Target="footer16.xml"/><Relationship Id="rId27" Type="http://schemas.openxmlformats.org/officeDocument/2006/relationships/footer" Target="footer17.xml"/><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 Id="rId33" Type="http://schemas.openxmlformats.org/officeDocument/2006/relationships/footer" Target="footer23.xml"/><Relationship Id="rId34" Type="http://schemas.openxmlformats.org/officeDocument/2006/relationships/footer" Target="footer24.xml"/><Relationship Id="rId35" Type="http://schemas.openxmlformats.org/officeDocument/2006/relationships/footer" Target="footer25.xml"/><Relationship Id="rId36" Type="http://schemas.openxmlformats.org/officeDocument/2006/relationships/footer" Target="footer26.xml"/><Relationship Id="rId37" Type="http://schemas.openxmlformats.org/officeDocument/2006/relationships/footer" Target="footer27.xml"/><Relationship Id="rId38" Type="http://schemas.openxmlformats.org/officeDocument/2006/relationships/footer" Target="footer28.xml"/><Relationship Id="rId39" Type="http://schemas.openxmlformats.org/officeDocument/2006/relationships/footer" Target="footer29.xml"/><Relationship Id="rId40" Type="http://schemas.openxmlformats.org/officeDocument/2006/relationships/footer" Target="footer30.xml"/><Relationship Id="rId41" Type="http://schemas.openxmlformats.org/officeDocument/2006/relationships/footer" Target="footer31.xml"/><Relationship Id="rId42" Type="http://schemas.openxmlformats.org/officeDocument/2006/relationships/footer" Target="footer32.xml"/><Relationship Id="rId43" Type="http://schemas.openxmlformats.org/officeDocument/2006/relationships/footer" Target="footer33.xml"/><Relationship Id="rId44"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