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t>C.I.: 28.706.352</w:t>
      </w:r>
    </w:p>
    <w:p>
      <w:pPr>
        <w:spacing w:line="276" w:lineRule="auto" w:before="2585" w:after="0"/>
        <w:jc w:val="center"/>
      </w:pPr>
      <w:r>
        <w:rPr>
          <w:rFonts w:ascii="Times New Roman" w:hAnsi="Times New Roman"/>
          <w:sz w:val="24"/>
        </w:rPr>
        <w:t>El Tigre, julio de 2026</w:t>
      </w:r>
    </w:p>
    <w:p>
      <w:pPr>
        <w:sectPr>
          <w:footerReference w:type="default" r:id="rId11"/>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PROPUESTA DE OPTIMIZACIÓN DEL PROCESO DE PROCURA EN EL DEPARTAMENTO ADMINISTRATIVO DE LUBRICANTES Y EQUIPOS VARYNA, C.A.</w:t>
      </w:r>
    </w:p>
    <w:p>
      <w:pPr>
        <w:spacing w:line="276" w:lineRule="auto" w:before="2557" w:after="0"/>
        <w:jc w:val="right"/>
      </w:pPr>
      <w:r>
        <w:rPr>
          <w:rFonts w:ascii="Times New Roman" w:hAnsi="Times New Roman"/>
          <w:b/>
          <w:sz w:val="24"/>
        </w:rPr>
        <w:t>Autor: Keidy Guzmán</w:t>
        <w:br/>
        <w:t>C.I.: 28.706.352</w:t>
      </w:r>
    </w:p>
    <w:p>
      <w:pPr>
        <w:spacing w:line="276" w:lineRule="auto" w:before="2585"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3"/>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4"/>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5"/>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administrativas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6"/>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17"/>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19"/>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Texto de introducción no proporcionado.</w:t>
      </w:r>
    </w:p>
    <w:p>
      <w:pPr>
        <w:sectPr>
          <w:footerReference w:type="default" r:id="rId20"/>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1"/>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con más de treinta y seis (36) años de trayectoria en el sector petrolero, industrial y de construcción, consolidándose como una organización de amplia experiencia y reconocimiento dentro del mercado nacional. Desde sus inicios, la empresa ha orientado sus esfuerzos al desarrollo de soluciones integrales que contribuyan al fortalecimiento de las actividades productivas del país.</w:t>
      </w:r>
    </w:p>
    <w:p>
      <w:pPr>
        <w:spacing w:line="360" w:lineRule="auto" w:after="0" w:before="0"/>
        <w:ind w:firstLine="709"/>
        <w:jc w:val="both"/>
      </w:pPr>
      <w:r>
        <w:rPr>
          <w:rFonts w:ascii="Times New Roman" w:hAnsi="Times New Roman"/>
          <w:i w:val="0"/>
          <w:sz w:val="24"/>
        </w:rPr>
        <w:t>Como empresa integrante del Grupo Corporativo VTC, ha profesionalizado un crecimiento sostenido basado en la innovación, la calidad de sus servicios y el compromiso con sus clientes. Su actividad principal se enfoca en el procesamiento y suministro de productos químicos especializados, el tratamiento de crudo y la provisión de maquinaria pesada para operaciones industriales.</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población de trabajadores de Lubricantes y Equipos Varyná C.A. está conformada por personal administrativo, técnico y operativo. Toda la empresa trabaja de manera coordinada para garantizar la calidad de los servicios prestados, recayendo sobre el área de procura administrativa la responsabilidad de asegurar la disponibilidad oportuna de materiales y repuestos para la continuidad operativa.</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w:t>
      </w:r>
    </w:p>
    <w:p>
      <w:pPr>
        <w:spacing w:before="480"/>
        <w:jc w:val="center"/>
      </w:pPr>
      <w:r>
        <w:drawing>
          <wp:inline xmlns:a="http://schemas.openxmlformats.org/drawingml/2006/main" xmlns:pic="http://schemas.openxmlformats.org/drawingml/2006/picture">
            <wp:extent cx="4320000" cy="260317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2"/>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23"/>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el control y flujo procedimental de la procura. En la actualidad, las solicitudes de compras de materiales e insumos críticos presentan marcados retrasos debido a la ausencia de un canal formalizado de recepción, lo que ocasiona que las requisiciones no sigan una ruta clara de procesamiento.</w:t>
      </w:r>
    </w:p>
    <w:p>
      <w:pPr>
        <w:spacing w:line="360" w:lineRule="auto" w:after="0" w:before="0"/>
        <w:ind w:firstLine="709"/>
        <w:jc w:val="both"/>
      </w:pPr>
      <w:r>
        <w:rPr>
          <w:rFonts w:ascii="Times New Roman" w:hAnsi="Times New Roman"/>
          <w:i w:val="0"/>
          <w:sz w:val="24"/>
        </w:rPr>
        <w:t>Esta falta de estandarización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optimización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mejoras procedimentales para optimizar el proceso de procura en el departamento administrativo de Lubricantes y Equipos Varyna, C.A., con la finalidad de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el flujo secuencial de las solicitudes de compra.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debilidades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tiempos prolongados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mejora procedimental que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administrativas a ejecutar:</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debilidades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retrasos en la adquisición.</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las demoras.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mejora procedimental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optimizado,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metodológica de optimización de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tareas administrativas garantizando el cumplimiento del manual documental propuesto:</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administrativas.</w:t>
      </w:r>
      <w:bookmarkEnd w:id="bm_cuadro2"/>
    </w:p>
    <w:tbl>
      <w:tblPr>
        <w:tblStyle w:val="TableGrid"/>
        <w:tblW w:type="auto" w:w="0"/>
        <w:tblLook w:firstColumn="1" w:firstRow="1" w:lastColumn="0" w:lastRow="0" w:noHBand="0" w:noVBand="1" w:val="04A0"/>
        <w:tblLayout w:type="fixed"/>
      </w:tblPr>
      <w:tblGrid>
        <w:gridCol w:w="5386"/>
        <w:gridCol w:w="577"/>
        <w:gridCol w:w="577"/>
        <w:gridCol w:w="577"/>
        <w:gridCol w:w="577"/>
        <w:gridCol w:w="577"/>
      </w:tblGrid>
      <w:tr>
        <w:tc>
          <w:tcPr>
            <w:tcW w:w="5386"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77" w:type="dxa"/>
            <w:shd w:val="clear" w:color="auto" w:fill="4472C4"/>
          </w:tcPr>
          <w:p>
            <w:pPr>
              <w:spacing w:before="60" w:after="60" w:line="240" w:lineRule="auto"/>
              <w:jc w:val="center"/>
            </w:pPr>
            <w:r>
              <w:rPr>
                <w:rFonts w:ascii="Times New Roman" w:hAnsi="Times New Roman"/>
                <w:b/>
                <w:color w:val="FFFFFF"/>
                <w:sz w:val="18"/>
              </w:rPr>
              <w:t>S1</w:t>
            </w:r>
          </w:p>
        </w:tc>
        <w:tc>
          <w:tcPr>
            <w:tcW w:w="577" w:type="dxa"/>
            <w:shd w:val="clear" w:color="auto" w:fill="4472C4"/>
          </w:tcPr>
          <w:p>
            <w:pPr>
              <w:spacing w:before="60" w:after="60" w:line="240" w:lineRule="auto"/>
              <w:jc w:val="center"/>
            </w:pPr>
            <w:r>
              <w:rPr>
                <w:rFonts w:ascii="Times New Roman" w:hAnsi="Times New Roman"/>
                <w:b/>
                <w:color w:val="FFFFFF"/>
                <w:sz w:val="18"/>
              </w:rPr>
              <w:t>S2</w:t>
            </w:r>
          </w:p>
        </w:tc>
        <w:tc>
          <w:tcPr>
            <w:tcW w:w="577" w:type="dxa"/>
            <w:shd w:val="clear" w:color="auto" w:fill="4472C4"/>
          </w:tcPr>
          <w:p>
            <w:pPr>
              <w:spacing w:before="60" w:after="60" w:line="240" w:lineRule="auto"/>
              <w:jc w:val="center"/>
            </w:pPr>
            <w:r>
              <w:rPr>
                <w:rFonts w:ascii="Times New Roman" w:hAnsi="Times New Roman"/>
                <w:b/>
                <w:color w:val="FFFFFF"/>
                <w:sz w:val="18"/>
              </w:rPr>
              <w:t>S3</w:t>
            </w:r>
          </w:p>
        </w:tc>
        <w:tc>
          <w:tcPr>
            <w:tcW w:w="577" w:type="dxa"/>
            <w:shd w:val="clear" w:color="auto" w:fill="4472C4"/>
          </w:tcPr>
          <w:p>
            <w:pPr>
              <w:spacing w:before="60" w:after="60" w:line="240" w:lineRule="auto"/>
              <w:jc w:val="center"/>
            </w:pPr>
            <w:r>
              <w:rPr>
                <w:rFonts w:ascii="Times New Roman" w:hAnsi="Times New Roman"/>
                <w:b/>
                <w:color w:val="FFFFFF"/>
                <w:sz w:val="18"/>
              </w:rPr>
              <w:t>S4</w:t>
            </w:r>
          </w:p>
        </w:tc>
        <w:tc>
          <w:tcPr>
            <w:tcW w:w="577" w:type="dxa"/>
            <w:shd w:val="clear" w:color="auto" w:fill="4472C4"/>
          </w:tcPr>
          <w:p>
            <w:pPr>
              <w:spacing w:before="60" w:after="60" w:line="240" w:lineRule="auto"/>
              <w:jc w:val="center"/>
            </w:pPr>
            <w:r>
              <w:rPr>
                <w:rFonts w:ascii="Times New Roman" w:hAnsi="Times New Roman"/>
                <w:b/>
                <w:color w:val="FFFFFF"/>
                <w:sz w:val="18"/>
              </w:rPr>
              <w:t>S5</w:t>
            </w:r>
          </w:p>
        </w:tc>
      </w:tr>
      <w:tr>
        <w:tc>
          <w:tcPr>
            <w:tcW w:w="5386" w:type="dxa"/>
            <w:shd w:val="clear" w:color="auto" w:fill="FFFFFF"/>
          </w:tcPr>
          <w:p>
            <w:pPr>
              <w:spacing w:before="60" w:after="60" w:line="240" w:lineRule="auto"/>
              <w:jc w:val="both"/>
            </w:pPr>
            <w:r>
              <w:rPr>
                <w:rFonts w:ascii="Times New Roman" w:hAnsi="Times New Roman"/>
                <w:b w:val="0"/>
                <w:color w:val="000000"/>
                <w:sz w:val="20"/>
              </w:rPr>
              <w:t>Inducción y reconocimiento del departamento administrativo y del área de compras.</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Levantamiento preliminar de información sobre el flujo operativo de procura.</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Análisis cuantitativo y cualitativo de las causas que provocan los retrasos.</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Diseño de las estrategias procedimentales de mejora y nuevos formatos de control.</w:t>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FFFFFF"/>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r>
      <w:tr>
        <w:tc>
          <w:tcPr>
            <w:tcW w:w="5386" w:type="dxa"/>
            <w:shd w:val="clear" w:color="auto" w:fill="D9E1F2"/>
          </w:tcPr>
          <w:p>
            <w:pPr>
              <w:spacing w:before="60" w:after="60" w:line="240" w:lineRule="auto"/>
              <w:jc w:val="both"/>
            </w:pPr>
            <w:r>
              <w:rPr>
                <w:rFonts w:ascii="Times New Roman" w:hAnsi="Times New Roman"/>
                <w:b w:val="0"/>
                <w:color w:val="000000"/>
                <w:sz w:val="20"/>
              </w:rPr>
              <w:t>Revisión final de la propuesta de optimización y presentación formal a la gerencia.</w:t>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D9E1F2"/>
          </w:tcPr>
          <w:p>
            <w:pPr>
              <w:spacing w:before="60" w:after="60" w:line="240" w:lineRule="auto"/>
              <w:jc w:val="center"/>
            </w:pPr>
            <w:r>
              <w:rPr>
                <w:rFonts w:ascii="Times New Roman" w:hAnsi="Times New Roman"/>
                <w:b w:val="0"/>
                <w:color w:val="000000"/>
                <w:sz w:val="18"/>
              </w:rPr>
            </w:r>
          </w:p>
        </w:tc>
        <w:tc>
          <w:tcPr>
            <w:tcW w:w="577"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24"/>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25"/>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Bases Teóricas Referenciales</w:t>
      </w:r>
      <w:bookmarkEnd w:id="bm_cap3_bases"/>
    </w:p>
    <w:p>
      <w:pPr>
        <w:spacing w:line="360" w:lineRule="auto" w:after="0" w:before="0"/>
        <w:ind w:firstLine="709"/>
        <w:jc w:val="both"/>
      </w:pPr>
      <w:r>
        <w:rPr>
          <w:rFonts w:ascii="Times New Roman" w:hAnsi="Times New Roman"/>
          <w:i w:val="0"/>
          <w:sz w:val="24"/>
        </w:rPr>
        <w:t>Bases teóricas referenciales.</w:t>
      </w:r>
    </w:p>
    <w:p>
      <w:pPr>
        <w:sectPr>
          <w:footerReference w:type="default" r:id="rId26"/>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27"/>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Descripción de actividades ejecutadas.</w:t>
      </w:r>
    </w:p>
    <w:p>
      <w:pPr>
        <w:sectPr>
          <w:footerReference w:type="default" r:id="rId28"/>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29"/>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bookmarkStart w:id="bm_cap5_recom" w:name="bm_cap5_recom"/>
      <w:pPr>
        <w:spacing w:before="480" w:after="480" w:line="360" w:lineRule="auto"/>
        <w:jc w:val="left"/>
      </w:pPr>
      <w:r>
        <w:rPr>
          <w:rFonts w:ascii="Times New Roman" w:hAnsi="Times New Roman"/>
          <w:b/>
          <w:sz w:val="24"/>
        </w:rPr>
        <w:t>Recomendaciones</w:t>
      </w:r>
      <w:bookmarkEnd w:id="bm_cap5_recom"/>
    </w:p>
    <w:p>
      <w:pPr>
        <w:sectPr>
          <w:footerReference w:type="default" r:id="rId30"/>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1"/>
          <w:pgSz w:w="12240" w:h="15840"/>
          <w:pgMar w:top="2835" w:right="1701" w:bottom="1701" w:left="2268" w:header="720" w:footer="720" w:gutter="0"/>
          <w:cols w:space="720"/>
          <w:titlePg/>
          <w:docGrid w:linePitch="360"/>
        </w:sectPr>
      </w:pPr>
    </w:p>
    <w:p>
      <w:pPr>
        <w:spacing w:before="480" w:after="0"/>
      </w:pPr>
    </w:p>
    <w:sectPr w:rsidR="00FC693F" w:rsidRPr="0006063C" w:rsidSect="00034616">
      <w:footerReference w:type="default" r:id="rId32"/>
      <w:type w:val="continuous"/>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footer" Target="footer6.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footer" Target="footer10.xml"/><Relationship Id="rId21" Type="http://schemas.openxmlformats.org/officeDocument/2006/relationships/footer" Target="footer11.xml"/><Relationship Id="rId22" Type="http://schemas.openxmlformats.org/officeDocument/2006/relationships/footer" Target="footer12.xml"/><Relationship Id="rId23" Type="http://schemas.openxmlformats.org/officeDocument/2006/relationships/footer" Target="footer13.xml"/><Relationship Id="rId24" Type="http://schemas.openxmlformats.org/officeDocument/2006/relationships/footer" Target="footer14.xml"/><Relationship Id="rId25" Type="http://schemas.openxmlformats.org/officeDocument/2006/relationships/footer" Target="footer15.xml"/><Relationship Id="rId26" Type="http://schemas.openxmlformats.org/officeDocument/2006/relationships/footer" Target="footer16.xml"/><Relationship Id="rId27" Type="http://schemas.openxmlformats.org/officeDocument/2006/relationships/footer" Target="footer17.xml"/><Relationship Id="rId28" Type="http://schemas.openxmlformats.org/officeDocument/2006/relationships/footer" Target="footer18.xml"/><Relationship Id="rId29" Type="http://schemas.openxmlformats.org/officeDocument/2006/relationships/footer" Target="footer19.xml"/><Relationship Id="rId30" Type="http://schemas.openxmlformats.org/officeDocument/2006/relationships/footer" Target="footer20.xml"/><Relationship Id="rId31" Type="http://schemas.openxmlformats.org/officeDocument/2006/relationships/footer" Target="footer21.xml"/><Relationship Id="rId32"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