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5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29 de junio al 03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Completar el diagnóstico de las deficiencias del control administrativo y elaborar el diagrama de Ishikawa.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Apoyo administrativo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Colaborar en facturación, actualización de registros y seguimiento de casos.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documentos administrativos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de registros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Contrastar solicitudes e incidencias para detectar retrasos y datos faltantes.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Registros históricos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Diagrama de Ishikawa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Representar las causas asociadas con procedimiento, comunicación, registro y seguimiento.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Herramienta de diagramación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Análisis de causas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Relacionar las causas con las principales manifestaciones observadas.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Matriz de hallazgos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Bases teóricas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Iniciar la redacción del Capítulo III sobre control administrativo y gestión de solicitudes.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Bibliografía, procesador de textos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Diagnóstico situacional, diagrama de Ishikawa y avance del marco teórico.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