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DESARROLLO DE UN PROTOTIPO DE SISTEMA PARA EL CONTROL, TRAZABILIDAD Y REPORTE DOCUMENTAL EN LA PRESIDENCIA DE VENANGOCUPET, S.A.</w:t>
      </w:r>
    </w:p>
    <w:p>
      <w:pPr>
        <w:spacing w:line="276" w:lineRule="auto" w:before="3260" w:after="0"/>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p>
      <w:pPr>
        <w:spacing w:line="276" w:lineRule="auto" w:before="1630" w:after="0"/>
        <w:jc w:val="center"/>
      </w:pPr>
      <w:r>
        <w:rPr>
          <w:rFonts w:ascii="Times New Roman" w:hAnsi="Times New Roman"/>
          <w:sz w:val="24"/>
        </w:rPr>
        <w:t>El Tigre, agosto de 2026</w:t>
      </w:r>
    </w:p>
    <w:p>
      <w:pPr>
        <w:sectPr>
          <w:footerReference w:type="default" r:id="rId23"/>
          <w:pgSz w:w="12240" w:h="15840"/>
          <w:pgMar w:top="1701" w:right="1701" w:bottom="1701" w:left="2268" w:header="720" w:footer="720" w:gutter="0"/>
          <w:cols w:space="720"/>
          <w:docGrid w:linePitch="360"/>
          <w:pgNumType w:fmt="lowerRoman" w:start="1"/>
        </w:sectPr>
      </w:pPr>
    </w:p>
    <w:p>
      <w:bookmarkStart w:id="bm_contraportada" w:name="bm_contraportada"/>
      <w:pPr>
        <w:spacing w:line="240"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bookmarkEnd w:id="bm_contraportada"/>
    </w:p>
    <w:p>
      <w:pPr>
        <w:spacing w:line="276" w:lineRule="auto" w:before="1280" w:after="0"/>
        <w:jc w:val="center"/>
      </w:pPr>
      <w:r>
        <w:rPr>
          <w:rFonts w:ascii="Times New Roman" w:hAnsi="Times New Roman"/>
          <w:b/>
          <w:sz w:val="24"/>
        </w:rPr>
        <w:t>DESARROLLO DE UN PROTOTIPO DE SISTEMA PARA EL CONTROL, TRAZABILIDAD Y REPORTE DOCUMENTAL EN LA PRESIDENCIA DE VENANGOCUPET, S.A.</w:t>
      </w:r>
    </w:p>
    <w:p>
      <w:pPr>
        <w:spacing w:line="276" w:lineRule="auto" w:before="440" w:after="0"/>
        <w:jc w:val="center"/>
      </w:pPr>
      <w:r>
        <w:rPr>
          <w:rFonts w:ascii="Times New Roman" w:hAnsi="Times New Roman"/>
          <w:b/>
          <w:sz w:val="24"/>
        </w:rPr>
        <w:t>Informe de pasantías para obtener el título de Técnico Superior Universitario en la especialidad de: Informática</w:t>
      </w:r>
    </w:p>
    <w:p>
      <w:pPr>
        <w:spacing w:before="2100"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40" w:lineRule="auto"/>
              <w:jc w:val="left"/>
            </w:pPr>
            <w:r>
              <w:rPr>
                <w:rFonts w:ascii="Times New Roman" w:hAnsi="Times New Roman"/>
                <w:b/>
                <w:sz w:val="24"/>
              </w:rPr>
              <w:t>Tutor Industrial:</w:t>
              <w:br/>
            </w:r>
            <w:r>
              <w:rPr>
                <w:rFonts w:ascii="Times New Roman" w:hAnsi="Times New Roman"/>
                <w:b/>
                <w:sz w:val="24"/>
              </w:rPr>
              <w:t>Ing. Sabaneta, Yasmin</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Ing. Mejías, José</w:t>
              <w:br/>
            </w:r>
            <w:r>
              <w:rPr>
                <w:rFonts w:ascii="Times New Roman" w:hAnsi="Times New Roman"/>
                <w:b/>
                <w:sz w:val="24"/>
              </w:rPr>
              <w:t>C.I.: 4.273.815</w:t>
            </w:r>
          </w:p>
        </w:tc>
        <w:tc>
          <w:tcPr>
            <w:tcW w:type="dxa" w:w="4139"/>
            <w:vAlign w:val="top"/>
          </w:tcPr>
          <w:p>
            <w:pPr>
              <w:spacing w:line="240" w:lineRule="auto"/>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tc>
      </w:tr>
    </w:tbl>
    <w:p>
      <w:pPr>
        <w:spacing w:line="276" w:lineRule="auto" w:before="800" w:after="0"/>
        <w:jc w:val="center"/>
      </w:pPr>
      <w:r>
        <w:rPr>
          <w:rFonts w:ascii="Times New Roman" w:hAnsi="Times New Roman"/>
          <w:sz w:val="24"/>
        </w:rPr>
        <w:t>El Tigre, agosto de 2026</w:t>
      </w:r>
    </w:p>
    <w:p>
      <w:pPr>
        <w:sectPr>
          <w:footerReference w:type="default" r:id="rId24"/>
          <w:pgSz w:w="12240" w:h="15840"/>
          <w:pgMar w:top="1701" w:right="1701" w:bottom="1701" w:left="2268" w:header="720" w:footer="720" w:gutter="0"/>
          <w:cols w:space="720"/>
          <w:docGrid w:linePitch="360"/>
          <w:pgNumType w:fmt="lowerRoman"/>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ind" w:name="bm_aprob_ind"/>
      <w:pPr>
        <w:spacing w:before="480" w:after="480"/>
        <w:jc w:val="center"/>
      </w:pPr>
      <w:r>
        <w:rPr>
          <w:rFonts w:ascii="Times New Roman" w:hAnsi="Times New Roman"/>
          <w:b/>
          <w:sz w:val="24"/>
        </w:rPr>
        <w:t>APROBACIÓN DEL TUTOR INDUSTRIAL</w:t>
      </w:r>
      <w:bookmarkEnd w:id="bm_aprob_ind"/>
    </w:p>
    <w:p>
      <w:pPr>
        <w:spacing w:line="360" w:lineRule="auto"/>
        <w:ind w:firstLine="0"/>
        <w:jc w:val="both"/>
      </w:pPr>
      <w:r>
        <w:rPr>
          <w:rFonts w:ascii="Times New Roman" w:hAnsi="Times New Roman"/>
          <w:sz w:val="24"/>
        </w:rPr>
        <w:t>En mi carácter de tutor industrial del informe de pasantías presentado por: Cardona, Juliano, de Cédula de Identidad V-32.281.199; para optar al grado de Técnico Superior Universitario en la especialidad de: Informática, cuyo título es; “DESARROLLO DE UN PROTOTIPO DE SISTEMA PARA EL CONTROL, TRAZABILIDAD Y REPORTE DOCUMENTAL EN LA PRESIDENCIA DE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Sabaneta, Yasmin</w:t>
      </w:r>
    </w:p>
    <w:p>
      <w:pPr>
        <w:spacing w:before="0"/>
        <w:jc w:val="center"/>
      </w:pPr>
      <w:r>
        <w:rPr>
          <w:rFonts w:ascii="Times New Roman" w:hAnsi="Times New Roman"/>
          <w:sz w:val="24"/>
        </w:rPr>
        <w:t>C.I.: 14.187.924</w:t>
      </w:r>
    </w:p>
    <w:p>
      <w:pPr>
        <w:sectPr>
          <w:footerReference w:type="default" r:id="rId25"/>
          <w:pgSz w:w="12240" w:h="15840"/>
          <w:pgMar w:top="1701" w:right="1701" w:bottom="1701" w:left="2268" w:header="720" w:footer="720" w:gutter="0"/>
          <w:cols w:space="720"/>
          <w:docGrid w:linePitch="360"/>
          <w:pgNumType w:fmt="lowerRoman"/>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acad" w:name="bm_aprob_acad"/>
      <w:pPr>
        <w:spacing w:before="480" w:after="480"/>
        <w:jc w:val="center"/>
      </w:pPr>
      <w:r>
        <w:rPr>
          <w:rFonts w:ascii="Times New Roman" w:hAnsi="Times New Roman"/>
          <w:b/>
          <w:sz w:val="24"/>
        </w:rPr>
        <w:t>APROBACIÓN DEL TUTOR ACADÉMICO</w:t>
      </w:r>
      <w:bookmarkEnd w:id="bm_aprob_acad"/>
    </w:p>
    <w:p>
      <w:pPr>
        <w:spacing w:line="360" w:lineRule="auto"/>
        <w:ind w:firstLine="0"/>
        <w:jc w:val="both"/>
      </w:pPr>
      <w:r>
        <w:rPr>
          <w:rFonts w:ascii="Times New Roman" w:hAnsi="Times New Roman"/>
          <w:sz w:val="24"/>
        </w:rPr>
        <w:t>En mi carácter de tutor académico del informe de pasantías presentado por: Cardona, Juliano, de Cédula de Identidad V-32.281.199; para optar al grado de Técnico Superior Universitario en la especialidad de: Informática, cuyo título es; “DESARROLLO DE UN PROTOTIPO DE SISTEMA PARA EL CONTROL, TRAZABILIDAD Y REPORTE DOCUMENTAL EN LA PRESIDENCIA DE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Mejías, José</w:t>
      </w:r>
    </w:p>
    <w:p>
      <w:pPr>
        <w:spacing w:before="0"/>
        <w:jc w:val="center"/>
      </w:pPr>
      <w:r>
        <w:rPr>
          <w:rFonts w:ascii="Times New Roman" w:hAnsi="Times New Roman"/>
          <w:sz w:val="24"/>
        </w:rPr>
        <w:t>C.I.: 4.273.815</w:t>
      </w:r>
    </w:p>
    <w:p>
      <w:pPr>
        <w:sectPr>
          <w:footerReference w:type="default" r:id="rId26"/>
          <w:pgSz w:w="12240" w:h="15840"/>
          <w:pgMar w:top="1701" w:right="1701" w:bottom="1701" w:left="2268" w:header="720" w:footer="720" w:gutter="0"/>
          <w:cols w:space="720"/>
          <w:docGrid w:linePitch="360"/>
          <w:pgNumType w:fmt="lowerRoman"/>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27"/>
          <w:pgSz w:w="12240" w:h="15840"/>
          <w:pgMar w:top="1701" w:right="1701" w:bottom="1701" w:left="2268" w:header="720" w:footer="720" w:gutter="0"/>
          <w:cols w:space="720"/>
          <w:docGrid w:linePitch="360"/>
          <w:pgNumType w:fmt="lowerRoman"/>
        </w:sectPr>
      </w:pPr>
    </w:p>
    <w:p>
      <w:pPr>
        <w:spacing w:line="360" w:lineRule="auto" w:after="0" w:before="0"/>
        <w:ind w:firstLine="709"/>
        <w:jc w:val="both"/>
      </w:pPr>
      <w:r>
        <w:rPr>
          <w:rFonts w:ascii="Times New Roman" w:hAnsi="Times New Roman"/>
          <w:i w:val="0"/>
          <w:sz w:val="24"/>
        </w:rPr>
        <w:t>A la Empresa Mixta Petrolera Venangocupet, S.A., por abrir las puertas de su organización y brindar la oportunidad de desarrollar este proyecto técnico de la mano de excelentes profesionales.</w:t>
      </w:r>
    </w:p>
    <w:p>
      <w:pPr>
        <w:sectPr>
          <w:footerReference w:type="default" r:id="rId28"/>
          <w:type w:val="continuous"/>
          <w:pgSz w:w="12240" w:h="15840"/>
          <w:pgMar w:top="1701" w:right="1701" w:bottom="1701" w:left="2268" w:header="720" w:footer="720" w:gutter="0"/>
          <w:cols w:space="720"/>
          <w:docGrid w:linePitch="360"/>
          <w:pgNumType w:fmt="lowerRoman"/>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29"/>
          <w:pgSz w:w="12240" w:h="15840"/>
          <w:pgMar w:top="1701" w:right="1701" w:bottom="1701" w:left="2268" w:header="720" w:footer="720" w:gutter="0"/>
          <w:cols w:space="720"/>
          <w:docGrid w:linePitch="360"/>
          <w:pgNumType w:fmt="lowerRoman"/>
        </w:sectPr>
      </w:pPr>
    </w:p>
    <w:p>
      <w:pPr>
        <w:spacing w:line="360" w:lineRule="auto" w:after="0" w:before="0"/>
        <w:ind w:firstLine="709"/>
        <w:jc w:val="both"/>
      </w:pPr>
      <w:r>
        <w:rPr>
          <w:rFonts w:ascii="Times New Roman" w:hAnsi="Times New Roman"/>
          <w:i w:val="0"/>
          <w:sz w:val="24"/>
        </w:rPr>
        <w:t>A mi familia, por su apoyo incondicional en cada paso de mi formación académica y personal.</w:t>
      </w:r>
    </w:p>
    <w:p>
      <w:pPr>
        <w:sectPr>
          <w:footerReference w:type="default" r:id="rId30"/>
          <w:type w:val="continuous"/>
          <w:pgSz w:w="12240" w:h="15840"/>
          <w:pgMar w:top="1701" w:right="1701" w:bottom="1701" w:left="2268" w:header="720" w:footer="720" w:gutter="0"/>
          <w:cols w:space="720"/>
          <w:docGrid w:linePitch="360"/>
          <w:pgNumType w:fmt="lowerRoman"/>
        </w:sectPr>
      </w:pPr>
    </w:p>
    <w:p>
      <w:bookmarkStart w:id="bm_indice" w:name="bm_indice"/>
      <w:pPr>
        <w:spacing w:before="1140" w:after="480"/>
        <w:jc w:val="center"/>
      </w:pPr>
      <w:r>
        <w:rPr>
          <w:rFonts w:ascii="Times New Roman" w:hAnsi="Times New Roman"/>
          <w:b/>
          <w:sz w:val="24"/>
        </w:rPr>
        <w:t>ÍNDICE DE CONTENIDO</w:t>
      </w:r>
      <w:bookmarkEnd w:id="bm_indice"/>
    </w:p>
    <w:p>
      <w:pPr>
        <w:sectPr>
          <w:footerReference w:type="default" r:id="rId31"/>
          <w:pgSz w:w="12240" w:h="15840"/>
          <w:pgMar w:top="1701" w:right="1701" w:bottom="1701" w:left="2268" w:header="720" w:footer="720" w:gutter="0"/>
          <w:cols w:space="720"/>
          <w:docGrid w:linePitch="360"/>
          <w:pgNumType w:fmt="lowerRoman"/>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CONTRAPORTADA</w:t>
        <w:tab/>
      </w:r>
      <w:r>
        <w:rPr>
          <w:rFonts w:ascii="Times New Roman" w:hAnsi="Times New Roman"/>
          <w:b w:val="0"/>
          <w:sz w:val="24"/>
        </w:rPr>
        <w:fldChar w:fldCharType="begin"/>
        <w:instrText xml:space="preserve"> PAGEREF bm_contraportada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del departamento donde realizó la pasantía</w:t>
        <w:tab/>
      </w:r>
      <w:r>
        <w:rPr>
          <w:rFonts w:ascii="Times New Roman" w:hAnsi="Times New Roman"/>
          <w:b w:val="0"/>
          <w:sz w:val="24"/>
        </w:rPr>
        <w:fldChar w:fldCharType="begin"/>
        <w:instrText xml:space="preserve"> PAGEREF bm_cap1_departamento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V: CONCLUSIONES Y RECOMENDACIONES</w:t>
        <w:tab/>
      </w:r>
      <w:r>
        <w:rPr>
          <w:rFonts w:ascii="Times New Roman" w:hAnsi="Times New Roman"/>
          <w:b/>
          <w:sz w:val="24"/>
        </w:rPr>
        <w:fldChar w:fldCharType="begin"/>
        <w:instrText xml:space="preserve"> PAGEREF bm_cap5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Conclusiones</w:t>
        <w:tab/>
      </w:r>
      <w:r>
        <w:rPr>
          <w:rFonts w:ascii="Times New Roman" w:hAnsi="Times New Roman"/>
          <w:b w:val="0"/>
          <w:sz w:val="24"/>
        </w:rPr>
        <w:fldChar w:fldCharType="begin"/>
        <w:instrText xml:space="preserve"> PAGEREF bm_cap5_concl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Recomendaciones</w:t>
        <w:tab/>
      </w:r>
      <w:r>
        <w:rPr>
          <w:rFonts w:ascii="Times New Roman" w:hAnsi="Times New Roman"/>
          <w:b w:val="0"/>
          <w:sz w:val="24"/>
        </w:rPr>
        <w:fldChar w:fldCharType="begin"/>
        <w:instrText xml:space="preserve"> PAGEREF bm_cap5_recom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32"/>
          <w:type w:val="continuous"/>
          <w:pgSz w:w="12240" w:h="15840"/>
          <w:pgMar w:top="1701" w:right="1701" w:bottom="1701" w:left="2268" w:header="720" w:footer="720" w:gutter="0"/>
          <w:cols w:space="720"/>
          <w:docGrid w:linePitch="360"/>
          <w:pgNumType w:fmt="lowerRoman"/>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33"/>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desarrollo del sistema automatizado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34"/>
          <w:type w:val="continuous"/>
          <w:pgSz w:w="12240" w:h="15840"/>
          <w:pgMar w:top="1701" w:right="1701" w:bottom="1701" w:left="2268" w:header="720" w:footer="720" w:gutter="0"/>
          <w:cols w:space="720"/>
          <w:docGrid w:linePitch="360"/>
          <w:pgNumType w:fmt="lowerRoman"/>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35"/>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Logotipo de la Empresa Mixta Petrolera Venangocupet, 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Referencia cartográfica de la ubicación de las oficinas administrativas de Venangocupet, S.A.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estructural y niveles jerárquicos de Venangocupet, S.A.</w:t>
        <w:tab/>
      </w:r>
      <w:r>
        <w:rPr>
          <w:rFonts w:ascii="Times New Roman" w:hAnsi="Times New Roman"/>
          <w:b w:val="0"/>
          <w:sz w:val="24"/>
        </w:rPr>
        <w:fldChar w:fldCharType="begin"/>
        <w:instrText xml:space="preserve"> PAGEREF bm_grafico3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4</w:t>
        <w:tab/>
        <w:t>Organigrama del Departamento de Presidencia</w:t>
        <w:tab/>
      </w:r>
      <w:r>
        <w:rPr>
          <w:rFonts w:ascii="Times New Roman" w:hAnsi="Times New Roman"/>
          <w:b w:val="0"/>
          <w:sz w:val="24"/>
        </w:rPr>
        <w:fldChar w:fldCharType="begin"/>
        <w:instrText xml:space="preserve"> PAGEREF bm_grafico4 \h </w:instrText>
        <w:fldChar w:fldCharType="separate"/>
        <w:t>?</w:t>
        <w:fldChar w:fldCharType="end"/>
      </w:r>
    </w:p>
    <w:p>
      <w:pPr>
        <w:sectPr>
          <w:footerReference w:type="default" r:id="rId36"/>
          <w:type w:val="continuous"/>
          <w:pgSz w:w="12240" w:h="15840"/>
          <w:pgMar w:top="1701" w:right="1701" w:bottom="1701" w:left="2268" w:header="720" w:footer="720" w:gutter="0"/>
          <w:cols w:space="720"/>
          <w:docGrid w:linePitch="360"/>
          <w:pgNumType w:fmt="lowerRoman"/>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37"/>
          <w:pgSz w:w="12240" w:h="15840"/>
          <w:pgMar w:top="1701" w:right="1701" w:bottom="1701" w:left="2268" w:header="720" w:footer="720" w:gutter="0"/>
          <w:cols w:space="720"/>
          <w:docGrid w:linePitch="360"/>
          <w:pgNumType w:fmt="lowerRoman"/>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Árbol del problema del control de movimientos documentales</w:t>
        <w:tab/>
      </w:r>
      <w:r>
        <w:rPr>
          <w:rFonts w:ascii="Times New Roman" w:hAnsi="Times New Roman"/>
          <w:b w:val="0"/>
          <w:sz w:val="24"/>
        </w:rPr>
        <w:fldChar w:fldCharType="begin"/>
        <w:instrText xml:space="preserve"> PAGEREF bm_anexoA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B</w:t>
        <w:tab/>
        <w:t>Flujograma AS-IS del proceso documental actual de Presidencia</w:t>
        <w:tab/>
      </w:r>
      <w:r>
        <w:rPr>
          <w:rFonts w:ascii="Times New Roman" w:hAnsi="Times New Roman"/>
          <w:b w:val="0"/>
          <w:sz w:val="24"/>
        </w:rPr>
        <w:fldChar w:fldCharType="begin"/>
        <w:instrText xml:space="preserve"> PAGEREF bm_anexoB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C</w:t>
        <w:tab/>
        <w:t>Flujograma TO-BE del proceso con el sistema automatizado</w:t>
        <w:tab/>
      </w:r>
      <w:r>
        <w:rPr>
          <w:rFonts w:ascii="Times New Roman" w:hAnsi="Times New Roman"/>
          <w:b w:val="0"/>
          <w:sz w:val="24"/>
        </w:rPr>
        <w:fldChar w:fldCharType="begin"/>
        <w:instrText xml:space="preserve"> PAGEREF bm_anexoC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D</w:t>
        <w:tab/>
        <w:t>Modelo relacional documental del prototipo</w:t>
        <w:tab/>
      </w:r>
      <w:r>
        <w:rPr>
          <w:rFonts w:ascii="Times New Roman" w:hAnsi="Times New Roman"/>
          <w:b w:val="0"/>
          <w:sz w:val="24"/>
        </w:rPr>
        <w:fldChar w:fldCharType="begin"/>
        <w:instrText xml:space="preserve"> PAGEREF bm_anexoD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E</w:t>
        <w:tab/>
        <w:t>Arquitectura lógica del prototipo</w:t>
        <w:tab/>
      </w:r>
      <w:r>
        <w:rPr>
          <w:rFonts w:ascii="Times New Roman" w:hAnsi="Times New Roman"/>
          <w:b w:val="0"/>
          <w:sz w:val="24"/>
        </w:rPr>
        <w:fldChar w:fldCharType="begin"/>
        <w:instrText xml:space="preserve"> PAGEREF bm_anexoE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F</w:t>
        <w:tab/>
        <w:t>Secuencia de registro y despacho de un expediente</w:t>
        <w:tab/>
      </w:r>
      <w:r>
        <w:rPr>
          <w:rFonts w:ascii="Times New Roman" w:hAnsi="Times New Roman"/>
          <w:b w:val="0"/>
          <w:sz w:val="24"/>
        </w:rPr>
        <w:fldChar w:fldCharType="begin"/>
        <w:instrText xml:space="preserve"> PAGEREF bm_anexoF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G</w:t>
        <w:tab/>
        <w:t>Estados del expediente</w:t>
        <w:tab/>
      </w:r>
      <w:r>
        <w:rPr>
          <w:rFonts w:ascii="Times New Roman" w:hAnsi="Times New Roman"/>
          <w:b w:val="0"/>
          <w:sz w:val="24"/>
        </w:rPr>
        <w:fldChar w:fldCharType="begin"/>
        <w:instrText xml:space="preserve"> PAGEREF bm_anexoG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H</w:t>
        <w:tab/>
        <w:t>Mapa de módulos de la interfaz</w:t>
        <w:tab/>
      </w:r>
      <w:r>
        <w:rPr>
          <w:rFonts w:ascii="Times New Roman" w:hAnsi="Times New Roman"/>
          <w:b w:val="0"/>
          <w:sz w:val="24"/>
        </w:rPr>
        <w:fldChar w:fldCharType="begin"/>
        <w:instrText xml:space="preserve"> PAGEREF bm_anexoH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I</w:t>
        <w:tab/>
        <w:t>Proceso de respaldo periódico de SQLite</w:t>
        <w:tab/>
      </w:r>
      <w:r>
        <w:rPr>
          <w:rFonts w:ascii="Times New Roman" w:hAnsi="Times New Roman"/>
          <w:b w:val="0"/>
          <w:sz w:val="24"/>
        </w:rPr>
        <w:fldChar w:fldCharType="begin"/>
        <w:instrText xml:space="preserve"> PAGEREF bm_anexoI \h </w:instrText>
        <w:fldChar w:fldCharType="separate"/>
        <w:t>?</w:t>
        <w:fldChar w:fldCharType="end"/>
      </w:r>
    </w:p>
    <w:p>
      <w:pPr>
        <w:sectPr>
          <w:footerReference w:type="default" r:id="rId38"/>
          <w:type w:val="continuous"/>
          <w:pgSz w:w="12240" w:h="15840"/>
          <w:pgMar w:top="1701" w:right="1701" w:bottom="1701" w:left="2268" w:header="720" w:footer="720" w:gutter="0"/>
          <w:cols w:space="720"/>
          <w:docGrid w:linePitch="360"/>
          <w:pgNumType w:fmt="lowerRoman"/>
        </w:sectPr>
      </w:pPr>
    </w:p>
    <w:p>
      <w:pPr>
        <w:spacing w:line="240" w:lineRule="auto" w:after="0"/>
        <w:jc w:val="center"/>
      </w:pPr>
      <w:r>
        <w:rPr>
          <w:rFonts w:ascii="Times New Roman" w:hAnsi="Times New Roman"/>
          <w:b/>
          <w:sz w:val="24"/>
        </w:rPr>
        <w:t>REPÚBLICA BOLIVARIANA DE VENEZUELA</w:t>
      </w:r>
    </w:p>
    <w:p>
      <w:pPr>
        <w:spacing w:line="240" w:lineRule="auto" w:after="0"/>
        <w:jc w:val="center"/>
      </w:pPr>
      <w:r>
        <w:rPr>
          <w:rFonts w:ascii="Times New Roman" w:hAnsi="Times New Roman"/>
          <w:b/>
          <w:sz w:val="24"/>
        </w:rPr>
        <w:t>MINISTERIO DEL PODER POPULAR PARA LA EDUCACIÓN UNIVERSITARIA</w:t>
      </w:r>
    </w:p>
    <w:p>
      <w:pPr>
        <w:spacing w:line="240" w:lineRule="auto" w:after="0"/>
        <w:jc w:val="center"/>
      </w:pPr>
      <w:r>
        <w:rPr>
          <w:rFonts w:ascii="Times New Roman" w:hAnsi="Times New Roman"/>
          <w:b/>
          <w:sz w:val="24"/>
        </w:rPr>
        <w:t>INSTITUTO UNIVERSITARIO DE TECNOLOGÍA</w:t>
      </w:r>
    </w:p>
    <w:p>
      <w:pPr>
        <w:spacing w:line="240" w:lineRule="auto" w:after="0"/>
        <w:jc w:val="center"/>
      </w:pPr>
      <w:r>
        <w:rPr>
          <w:rFonts w:ascii="Times New Roman" w:hAnsi="Times New Roman"/>
          <w:b/>
          <w:sz w:val="24"/>
        </w:rPr>
        <w:t>"ELÍAS CALIXTO POMPA"</w:t>
      </w:r>
    </w:p>
    <w:p>
      <w:pPr>
        <w:spacing w:line="240" w:lineRule="auto" w:after="0"/>
        <w:jc w:val="center"/>
      </w:pPr>
      <w:r>
        <w:rPr>
          <w:rFonts w:ascii="Times New Roman" w:hAnsi="Times New Roman"/>
          <w:b/>
          <w:sz w:val="24"/>
        </w:rPr>
        <w:t>EL TIGRE, ESTADO ANZOÁTEGUI</w:t>
      </w:r>
    </w:p>
    <w:p>
      <w:pPr>
        <w:spacing w:line="240" w:lineRule="auto" w:after="120"/>
      </w:pPr>
    </w:p>
    <w:p>
      <w:pPr>
        <w:spacing w:line="240" w:lineRule="auto" w:after="120"/>
        <w:jc w:val="center"/>
      </w:pPr>
      <w:r>
        <w:rPr>
          <w:rFonts w:ascii="Times New Roman" w:hAnsi="Times New Roman"/>
          <w:b/>
          <w:sz w:val="24"/>
        </w:rPr>
        <w:t>DESARROLLO DE UN PROTOTIPO DE SISTEMA PARA EL CONTROL, TRAZABILIDAD Y REPORTE DOCUMENTAL EN LA PRESIDENCIA DE VENANGOCUPET, S.A.</w:t>
      </w:r>
    </w:p>
    <w:p>
      <w:pPr>
        <w:spacing w:line="240" w:lineRule="auto" w:after="120"/>
        <w:ind w:left="0"/>
        <w:jc w:val="right"/>
      </w:pPr>
      <w:r>
        <w:rPr>
          <w:rFonts w:ascii="Times New Roman" w:hAnsi="Times New Roman"/>
          <w:b/>
          <w:sz w:val="24"/>
        </w:rPr>
        <w:t>Autor:</w:t>
        <w:br/>
      </w:r>
      <w:r>
        <w:rPr>
          <w:rFonts w:ascii="Times New Roman" w:hAnsi="Times New Roman"/>
          <w:sz w:val="24"/>
        </w:rPr>
        <w:t>Cardona, Juliano</w:t>
        <w:br/>
      </w:r>
      <w:r>
        <w:rPr>
          <w:rFonts w:ascii="Times New Roman" w:hAnsi="Times New Roman"/>
          <w:sz w:val="24"/>
        </w:rPr>
        <w:t>C.I.: 32.281.199</w:t>
        <w:br/>
      </w:r>
      <w:r>
        <w:rPr>
          <w:rFonts w:ascii="Times New Roman" w:hAnsi="Times New Roman"/>
          <w:sz w:val="24"/>
        </w:rPr>
        <w:t>agosto de 2026</w:t>
      </w:r>
    </w:p>
    <w:p>
      <w:bookmarkStart w:id="bm_resumen" w:name="bm_resumen"/>
      <w:pPr>
        <w:spacing w:line="240" w:lineRule="auto" w:before="120" w:after="120"/>
        <w:jc w:val="center"/>
      </w:pPr>
      <w:r>
        <w:rPr>
          <w:rFonts w:ascii="Times New Roman" w:hAnsi="Times New Roman"/>
          <w:b/>
          <w:sz w:val="24"/>
        </w:rPr>
        <w:t>RESUMEN</w:t>
      </w:r>
      <w:bookmarkEnd w:id="bm_resumen"/>
    </w:p>
    <w:p>
      <w:pPr>
        <w:sectPr>
          <w:footerReference w:type="default" r:id="rId39"/>
          <w:pgSz w:w="12240" w:h="15840"/>
          <w:pgMar w:top="1701" w:right="1701" w:bottom="1701" w:left="2268" w:header="720" w:footer="720" w:gutter="0"/>
          <w:cols w:space="720"/>
          <w:docGrid w:linePitch="360"/>
          <w:pgNumType w:fmt="lowerRoman"/>
        </w:sectPr>
      </w:pPr>
    </w:p>
    <w:p>
      <w:pPr>
        <w:spacing w:line="240" w:lineRule="auto" w:before="0" w:after="0"/>
        <w:ind w:firstLine="709"/>
        <w:jc w:val="both"/>
      </w:pPr>
      <w:r>
        <w:rPr>
          <w:rFonts w:ascii="Times New Roman" w:hAnsi="Times New Roman"/>
          <w:sz w:val="24"/>
        </w:rPr>
        <w:t>El presente informe expone las actividades realizadas durante nueve (9) semanas de pasantías profesionales en el Departamento de Presidencia de la Empresa Mixta Petrolera Venangocupet, S.A. La práctica permitió reconocer el flujo real de recepción, revisión, registro, firma y despacho de expedientes, cuyo control se efectúa mediante hojas de cálculo y requiere transcripción repetitiva de datos. Esta dinámica puede generar duplicidad u omisión de registros y dificulta la obtención inmediata de resúmenes sobre documentos ingresados, firmados, pendientes o despachados. En respuesta a esta situación se planteó como objetivo general desarrollar un sistema automatizado para el control, trazabilidad y reporte documental del área. Las actividades comprendieron el diagnóstico del proceso, levantamiento de requerimientos, modelado de una base de datos relacional, diseño de la interfaz, implementación con SQLite, integración de una aplicación de escritorio y pruebas funcionales de los módulos de registro, consulta, historial y reportes. Como resultado se obtuvo un prototipo funcional orientado a reducir tareas repetitivas y mantener un historial verificable del recorrido de los expedientes. Se concluye que la solución desarrollada responde a los requerimientos esenciales identificados en Presidencia. Se recomienda realizar una incorporación progresiva de los registros y establecer respaldos periódicos de la base de datos antes de su utilización continua.</w:t>
      </w:r>
    </w:p>
    <w:p/>
    <w:p>
      <w:pPr>
        <w:spacing w:line="240" w:lineRule="auto" w:before="0" w:after="0"/>
        <w:ind w:firstLine="709"/>
      </w:pPr>
      <w:r>
        <w:rPr>
          <w:rFonts w:ascii="Times New Roman" w:hAnsi="Times New Roman"/>
          <w:b/>
          <w:sz w:val="24"/>
        </w:rPr>
        <w:t xml:space="preserve">Palabras claves: </w:t>
      </w:r>
      <w:r>
        <w:rPr>
          <w:rFonts w:ascii="Times New Roman" w:hAnsi="Times New Roman"/>
          <w:sz w:val="24"/>
        </w:rPr>
        <w:t>sistema automatizado, trazabilidad documental, SQLite, Wails, pasantías</w:t>
      </w:r>
    </w:p>
    <w:p>
      <w:pPr>
        <w:sectPr>
          <w:footerReference w:type="default" r:id="rId40"/>
          <w:type w:val="continuous"/>
          <w:pgSz w:w="12240" w:h="15840"/>
          <w:pgMar w:top="1701" w:right="1701" w:bottom="1701" w:left="2268" w:header="720" w:footer="720" w:gutter="0"/>
          <w:cols w:space="720"/>
          <w:docGrid w:linePitch="360"/>
          <w:pgNumType w:fmt="lowerRoman"/>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41"/>
          <w:footerReference w:type="first" r:id="rId42"/>
          <w:pgSz w:w="12240" w:h="15840"/>
          <w:pgMar w:top="1701" w:right="1701" w:bottom="1701" w:left="2268" w:header="720" w:footer="720" w:gutter="0"/>
          <w:cols w:space="720"/>
          <w:titlePg/>
          <w:docGrid w:linePitch="360"/>
          <w:pgNumType w:fmt="decimal" w:start="1"/>
        </w:sectPr>
      </w:pPr>
    </w:p>
    <w:p>
      <w:pPr>
        <w:spacing w:line="360" w:lineRule="auto" w:after="0" w:before="0"/>
        <w:ind w:firstLine="709"/>
        <w:jc w:val="both"/>
      </w:pPr>
      <w:r>
        <w:rPr>
          <w:rFonts w:ascii="Times New Roman" w:hAnsi="Times New Roman"/>
          <w:i w:val="0"/>
          <w:sz w:val="24"/>
        </w:rPr>
        <w:t>La gestión documental constituye una actividad esencial en las organizaciones, pues permite mantener control sobre la recepción, revisión, circulación y despacho de información necesaria para el funcionamiento administrativo. En áreas de alta dirección, conocer con rapidez el estado y recorrido de los expedientes contribuye a responder oportunamente a los requerimientos de las distintas unidades.</w:t>
      </w:r>
    </w:p>
    <w:p>
      <w:pPr>
        <w:spacing w:line="360" w:lineRule="auto" w:after="0" w:before="0"/>
        <w:ind w:firstLine="709"/>
        <w:jc w:val="both"/>
      </w:pPr>
      <w:r>
        <w:rPr>
          <w:rFonts w:ascii="Times New Roman" w:hAnsi="Times New Roman"/>
          <w:i w:val="0"/>
          <w:sz w:val="24"/>
        </w:rPr>
        <w:t>En el Departamento de Presidencia de la Empresa Mixta Petrolera Venangocupet, S.A., el control de los movimientos documentales se apoya en hojas de cálculo. Durante las pasantías se observó que la transcripción manual y repetitiva de datos puede generar duplicidades, omisiones y demoras para elaborar resúmenes solicitados por la directiva, lo que hizo pertinente desarrollar una herramienta de escritorio para organizar la información sin alterar el flujo real del departamento.</w:t>
      </w:r>
    </w:p>
    <w:p>
      <w:pPr>
        <w:spacing w:line="360" w:lineRule="auto" w:after="0" w:before="0"/>
        <w:ind w:firstLine="709"/>
        <w:jc w:val="both"/>
      </w:pPr>
      <w:r>
        <w:rPr>
          <w:rFonts w:ascii="Times New Roman" w:hAnsi="Times New Roman"/>
          <w:i w:val="0"/>
          <w:sz w:val="24"/>
        </w:rPr>
        <w:t>El propósito de la pasantía fue desarrollar un sistema automatizado para el control, trazabilidad y reporte documental, sustentado en fundamentos de sistemas de información, gestión documental, bases de datos relacionales y automatización de procesos administrativos. El alcance comprendió diagnóstico, definición de requerimientos, diseño lógico, implementación y validación funcional.</w:t>
      </w:r>
    </w:p>
    <w:p>
      <w:pPr>
        <w:spacing w:line="360" w:lineRule="auto" w:after="0" w:before="0"/>
        <w:ind w:firstLine="709"/>
        <w:jc w:val="both"/>
      </w:pPr>
      <w:r>
        <w:rPr>
          <w:rFonts w:ascii="Times New Roman" w:hAnsi="Times New Roman"/>
          <w:i w:val="0"/>
          <w:sz w:val="24"/>
        </w:rPr>
        <w:t>El informe se organiza en cinco capítulos: realidad organizacional; diagnóstico, objetivos y planificación; fundamentos teóricos; actividades realizadas; y conclusiones y recomendaciones.</w:t>
      </w:r>
    </w:p>
    <w:p>
      <w:pPr>
        <w:sectPr>
          <w:footerReference w:type="default" r:id="rId43"/>
          <w:footerReference w:type="first" r:id="rId44"/>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45"/>
          <w:footerReference w:type="first" r:id="rId46"/>
          <w:pgSz w:w="12240" w:h="15840"/>
          <w:pgMar w:top="1701" w:right="1701" w:bottom="1701" w:left="2268" w:header="720" w:footer="720" w:gutter="0"/>
          <w:cols w:space="720"/>
          <w:titlePg/>
          <w:docGrid w:linePitch="360"/>
          <w:pgNumType w:fmt="decimal"/>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de reservas de hidrocarburos.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y optimizar el uso de todos los recursos.</w:t>
      </w:r>
    </w:p>
    <w:p>
      <w:pPr>
        <w:spacing w:line="360" w:lineRule="auto"/>
        <w:ind w:firstLine="709"/>
        <w:jc w:val="both"/>
      </w:pPr>
      <w:r>
        <w:rPr>
          <w:rFonts w:ascii="Times New Roman" w:hAnsi="Times New Roman"/>
          <w:sz w:val="24"/>
        </w:rPr>
        <w:t xml:space="preserve">2. </w:t>
      </w:r>
      <w:r>
        <w:rPr>
          <w:rFonts w:ascii="Times New Roman" w:hAnsi="Times New Roman"/>
          <w:sz w:val="24"/>
        </w:rPr>
        <w:t>Impulsar el desarrollo sustentable de las comunidades vecinas mediante el fortalecimiento de las organizaciones de base y la diversificación económica.</w:t>
      </w:r>
    </w:p>
    <w:p>
      <w:pPr>
        <w:spacing w:line="360" w:lineRule="auto"/>
        <w:ind w:firstLine="709"/>
        <w:jc w:val="both"/>
      </w:pPr>
      <w:r>
        <w:rPr>
          <w:rFonts w:ascii="Times New Roman" w:hAnsi="Times New Roman"/>
          <w:sz w:val="24"/>
        </w:rPr>
        <w:t xml:space="preserve">3. </w:t>
      </w:r>
      <w:r>
        <w:rPr>
          <w:rFonts w:ascii="Times New Roman" w:hAnsi="Times New Roman"/>
          <w:sz w:val="24"/>
        </w:rPr>
        <w:t>Cumplir con las políticas, leyes, normas, procedimientos y lineamientos corporativos.</w:t>
      </w:r>
    </w:p>
    <w:p>
      <w:pPr>
        <w:spacing w:line="360" w:lineRule="auto"/>
        <w:ind w:firstLine="709"/>
        <w:jc w:val="both"/>
      </w:pPr>
      <w:r>
        <w:rPr>
          <w:rFonts w:ascii="Times New Roman" w:hAnsi="Times New Roman"/>
          <w:sz w:val="24"/>
        </w:rPr>
        <w:t xml:space="preserve">4. </w:t>
      </w:r>
      <w:r>
        <w:rPr>
          <w:rFonts w:ascii="Times New Roman" w:hAnsi="Times New Roman"/>
          <w:sz w:val="24"/>
        </w:rPr>
        <w:t>Conocer y aplicar las resoluciones, decretos y leyes de la industria del petróleo frente a las operaciones de la empresa en materia laboral.</w:t>
      </w:r>
    </w:p>
    <w:p>
      <w:pPr>
        <w:spacing w:line="360" w:lineRule="auto"/>
        <w:ind w:firstLine="709"/>
        <w:jc w:val="both"/>
      </w:pPr>
      <w:r>
        <w:rPr>
          <w:rFonts w:ascii="Times New Roman" w:hAnsi="Times New Roman"/>
          <w:sz w:val="24"/>
        </w:rPr>
        <w:t xml:space="preserve">5. </w:t>
      </w:r>
      <w:r>
        <w:rPr>
          <w:rFonts w:ascii="Times New Roman" w:hAnsi="Times New Roman"/>
          <w:sz w:val="24"/>
        </w:rPr>
        <w:t>Incentivar buenas relaciones interpersonales y laborales entre todos los trabajadores.</w:t>
      </w:r>
    </w:p>
    <w:p>
      <w:pPr>
        <w:spacing w:line="360" w:lineRule="auto"/>
        <w:ind w:firstLine="709"/>
        <w:jc w:val="both"/>
      </w:pPr>
      <w:r>
        <w:rPr>
          <w:rFonts w:ascii="Times New Roman" w:hAnsi="Times New Roman"/>
          <w:sz w:val="24"/>
        </w:rPr>
        <w:t xml:space="preserve">6. </w:t>
      </w:r>
      <w:r>
        <w:rPr>
          <w:rFonts w:ascii="Times New Roman" w:hAnsi="Times New Roman"/>
          <w:sz w:val="24"/>
        </w:rPr>
        <w:t>Mantener un alto nivel de comunicación y apoyo con el personal e informar acerca de los cambios y/o acciones de interés social y laboral.</w:t>
      </w:r>
    </w:p>
    <w:p>
      <w:pPr>
        <w:spacing w:line="360" w:lineRule="auto"/>
        <w:ind w:firstLine="709"/>
        <w:jc w:val="both"/>
      </w:pPr>
      <w:r>
        <w:rPr>
          <w:rFonts w:ascii="Times New Roman" w:hAnsi="Times New Roman"/>
          <w:sz w:val="24"/>
        </w:rPr>
        <w:t xml:space="preserve">7. </w:t>
      </w:r>
      <w:r>
        <w:rPr>
          <w:rFonts w:ascii="Times New Roman" w:hAnsi="Times New Roman"/>
          <w:sz w:val="24"/>
        </w:rPr>
        <w:t>Apoyar los objetivos y las metas de la organización en armonía con el desarrollo profesional del empleado.</w:t>
      </w:r>
    </w:p>
    <w:p>
      <w:pPr>
        <w:spacing w:line="360" w:lineRule="auto"/>
        <w:ind w:firstLine="709"/>
        <w:jc w:val="both"/>
      </w:pPr>
      <w:r>
        <w:rPr>
          <w:rFonts w:ascii="Times New Roman" w:hAnsi="Times New Roman"/>
          <w:sz w:val="24"/>
        </w:rPr>
        <w:t xml:space="preserve">8. </w:t>
      </w:r>
      <w:r>
        <w:rPr>
          <w:rFonts w:ascii="Times New Roman" w:hAnsi="Times New Roman"/>
          <w:sz w:val="24"/>
        </w:rPr>
        <w:t>Mantener el carácter confidencial de la información operativa y administrativa de la empresa.</w:t>
      </w:r>
    </w:p>
    <w:p>
      <w:pPr>
        <w:spacing w:line="360" w:lineRule="auto"/>
        <w:ind w:firstLine="709"/>
        <w:jc w:val="both"/>
      </w:pPr>
      <w:r>
        <w:rPr>
          <w:rFonts w:ascii="Times New Roman" w:hAnsi="Times New Roman"/>
          <w:sz w:val="24"/>
        </w:rPr>
        <w:t xml:space="preserve">9. </w:t>
      </w:r>
      <w:r>
        <w:rPr>
          <w:rFonts w:ascii="Times New Roman" w:hAnsi="Times New Roman"/>
          <w:sz w:val="24"/>
        </w:rPr>
        <w:t>Brindar los beneficios contractuales y velar por las mejoras de las condiciones laborales y la calidad de vida de los trabajadores.</w:t>
      </w:r>
    </w:p>
    <w:p>
      <w:pPr>
        <w:spacing w:line="360" w:lineRule="auto"/>
        <w:ind w:firstLine="709"/>
        <w:jc w:val="both"/>
      </w:pPr>
      <w:r>
        <w:rPr>
          <w:rFonts w:ascii="Times New Roman" w:hAnsi="Times New Roman"/>
          <w:sz w:val="24"/>
        </w:rPr>
        <w:t xml:space="preserve">10. </w:t>
      </w:r>
      <w:r>
        <w:rPr>
          <w:rFonts w:ascii="Times New Roman" w:hAnsi="Times New Roman"/>
          <w:sz w:val="24"/>
        </w:rPr>
        <w:t>Producir el máximo beneficio posible para sus accionistas, trabajadores, comunidades vecinas y clientes.</w:t>
      </w:r>
    </w:p>
    <w:p>
      <w:pPr>
        <w:spacing w:before="480"/>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512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Logotipo de la Empresa Mixta Petrolera Venangocupet, S.A.</w:t>
      </w:r>
      <w:bookmarkEnd w:id="bm_grafico1"/>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ubica en la Avenida Jesús Subero (vía El Tigre - San José de Guanipa), con prolongación de la Calle 19 Sur, sector San Remo, Centro Comercial San Remo Mall, El Tigre, municipio Simón Rodríguez, estado Anzoátegui. Las oficinas administrativas se encuentran específicamente en la planta baja del centro comercial, identificadas como Local 89-PB. Para la representación cartográfica se utiliza como referencia el Centro Comercial San Remo Mall, debido a que la empresa no aparece rotulada de forma independiente en la plataforma cartográfica consultada.</w:t>
      </w:r>
    </w:p>
    <w:p>
      <w:pPr>
        <w:spacing w:before="480"/>
        <w:jc w:val="center"/>
      </w:pPr>
      <w:r>
        <w:drawing>
          <wp:inline xmlns:a="http://schemas.openxmlformats.org/drawingml/2006/main" xmlns:pic="http://schemas.openxmlformats.org/drawingml/2006/picture">
            <wp:extent cx="3960000" cy="2482717"/>
            <wp:docPr id="3" name="Picture 3"/>
            <wp:cNvGraphicFramePr>
              <a:graphicFrameLocks noChangeAspect="1"/>
            </wp:cNvGraphicFramePr>
            <a:graphic>
              <a:graphicData uri="http://schemas.openxmlformats.org/drawingml/2006/picture">
                <pic:pic>
                  <pic:nvPicPr>
                    <pic:cNvPr id="0" name="mapa.png"/>
                    <pic:cNvPicPr/>
                  </pic:nvPicPr>
                  <pic:blipFill>
                    <a:blip r:embed="rId11"/>
                    <a:stretch>
                      <a:fillRect/>
                    </a:stretch>
                  </pic:blipFill>
                  <pic:spPr>
                    <a:xfrm>
                      <a:off x="0" y="0"/>
                      <a:ext cx="3960000" cy="2482717"/>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Referencia cartográfica de la ubicación de las oficinas administrativas de Venangocupet, S.A.</w:t>
      </w:r>
      <w:bookmarkEnd w:id="bm_grafico2"/>
    </w:p>
    <w:p>
      <w:pPr>
        <w:spacing w:before="0" w:after="240"/>
        <w:jc w:val="center"/>
      </w:pPr>
      <w:r>
        <w:rPr>
          <w:rFonts w:ascii="Times New Roman" w:hAnsi="Times New Roman"/>
          <w:i/>
          <w:sz w:val="24"/>
        </w:rPr>
        <w:t xml:space="preserve">Fuente: </w:t>
      </w:r>
      <w:r>
        <w:rPr>
          <w:rFonts w:ascii="Times New Roman" w:hAnsi="Times New Roman"/>
          <w:sz w:val="24"/>
        </w:rPr>
        <w:t>Captura cartográfica de Google Maps (2026). La empresa no aparece rotulada de forma independiente; se emplea como referencia el Centro Comercial San Remo Mall.</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spacing w:line="240" w:lineRule="auto" w:before="40" w:after="40"/>
              <w:jc w:val="center"/>
            </w:pPr>
            <w:r/>
            <w:r>
              <w:rPr>
                <w:rFonts w:ascii="Times New Roman" w:hAnsi="Times New Roman"/>
                <w:b/>
                <w:sz w:val="20"/>
              </w:rPr>
              <w:t>Departamento / Área</w:t>
            </w:r>
          </w:p>
        </w:tc>
        <w:tc>
          <w:tcPr>
            <w:tcW w:w="2886" w:type="dxa"/>
            <w:shd w:fill="D9E2F3"/>
          </w:tcPr>
          <w:p>
            <w:pPr>
              <w:spacing w:line="240" w:lineRule="auto" w:before="40" w:after="40"/>
              <w:jc w:val="center"/>
            </w:pPr>
            <w:r/>
            <w:r>
              <w:rPr>
                <w:rFonts w:ascii="Times New Roman" w:hAnsi="Times New Roman"/>
                <w:b/>
                <w:sz w:val="20"/>
              </w:rPr>
              <w:t>Cargo</w:t>
            </w:r>
          </w:p>
        </w:tc>
        <w:tc>
          <w:tcPr>
            <w:tcW w:w="1134" w:type="dxa"/>
            <w:shd w:fill="D9E2F3"/>
          </w:tcPr>
          <w:p>
            <w:pPr>
              <w:spacing w:line="240" w:lineRule="auto" w:before="40" w:after="40"/>
              <w:jc w:val="center"/>
            </w:pPr>
            <w:r/>
            <w:r>
              <w:rPr>
                <w:rFonts w:ascii="Times New Roman" w:hAnsi="Times New Roman"/>
                <w:b/>
                <w:sz w:val="20"/>
              </w:rPr>
              <w:t>Femenino</w:t>
            </w:r>
          </w:p>
        </w:tc>
        <w:tc>
          <w:tcPr>
            <w:tcW w:w="1134" w:type="dxa"/>
            <w:shd w:fill="D9E2F3"/>
          </w:tcPr>
          <w:p>
            <w:pPr>
              <w:spacing w:line="240" w:lineRule="auto" w:before="40" w:after="40"/>
              <w:jc w:val="center"/>
            </w:pPr>
            <w:r/>
            <w:r>
              <w:rPr>
                <w:rFonts w:ascii="Times New Roman" w:hAnsi="Times New Roman"/>
                <w:b/>
                <w:sz w:val="20"/>
              </w:rPr>
              <w:t>Masculino</w:t>
            </w:r>
          </w:p>
        </w:tc>
        <w:tc>
          <w:tcPr>
            <w:tcW w:w="1134" w:type="dxa"/>
            <w:shd w:fill="D9E2F3"/>
          </w:tcPr>
          <w:p>
            <w:pPr>
              <w:spacing w:line="240" w:lineRule="auto" w:before="40" w:after="40"/>
              <w:jc w:val="center"/>
            </w:pPr>
            <w:r/>
            <w:r>
              <w:rPr>
                <w:rFonts w:ascii="Times New Roman" w:hAnsi="Times New Roman"/>
                <w:b/>
                <w:sz w:val="20"/>
              </w:rPr>
              <w:t>Total</w:t>
            </w:r>
          </w:p>
        </w:tc>
      </w:tr>
      <w:tr>
        <w:tc>
          <w:tcPr>
            <w:tcW w:type="dxa" w:w="1984"/>
          </w:tcPr>
          <w:p>
            <w:pPr>
              <w:spacing w:line="240" w:lineRule="auto" w:before="40" w:after="40"/>
              <w:jc w:val="left"/>
            </w:pPr>
            <w:r/>
            <w:r>
              <w:rPr>
                <w:rFonts w:ascii="Times New Roman" w:hAnsi="Times New Roman"/>
                <w:sz w:val="20"/>
              </w:rPr>
              <w:t>Departamento de Presidencia</w:t>
            </w:r>
          </w:p>
        </w:tc>
        <w:tc>
          <w:tcPr>
            <w:tcW w:type="dxa" w:w="2886"/>
          </w:tcPr>
          <w:p>
            <w:pPr>
              <w:spacing w:line="240" w:lineRule="auto" w:before="40" w:after="40"/>
              <w:jc w:val="left"/>
            </w:pPr>
            <w:r/>
            <w:r>
              <w:rPr>
                <w:rFonts w:ascii="Times New Roman" w:hAnsi="Times New Roman"/>
                <w:sz w:val="20"/>
              </w:rPr>
              <w:t>Presidente</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r>
      <w:tr>
        <w:tc>
          <w:tcPr>
            <w:tcW w:type="dxa" w:w="1984"/>
          </w:tcPr>
          <w:p>
            <w:pPr>
              <w:spacing w:line="240" w:lineRule="auto" w:before="40" w:after="40"/>
              <w:jc w:val="left"/>
            </w:pPr>
            <w:r/>
            <w:r>
              <w:rPr>
                <w:rFonts w:ascii="Times New Roman" w:hAnsi="Times New Roman"/>
                <w:sz w:val="20"/>
              </w:rPr>
              <w:t>Departamento de Presidencia</w:t>
            </w:r>
          </w:p>
        </w:tc>
        <w:tc>
          <w:tcPr>
            <w:tcW w:type="dxa" w:w="2886"/>
          </w:tcPr>
          <w:p>
            <w:pPr>
              <w:spacing w:line="240" w:lineRule="auto" w:before="40" w:after="40"/>
              <w:jc w:val="left"/>
            </w:pPr>
            <w:r/>
            <w:r>
              <w:rPr>
                <w:rFonts w:ascii="Times New Roman" w:hAnsi="Times New Roman"/>
                <w:sz w:val="20"/>
              </w:rPr>
              <w:t>Secretaría</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0</w:t>
            </w:r>
          </w:p>
        </w:tc>
        <w:tc>
          <w:tcPr>
            <w:tcW w:type="dxa" w:w="1134"/>
          </w:tcPr>
          <w:p>
            <w:pPr>
              <w:spacing w:line="240" w:lineRule="auto" w:before="40" w:after="40"/>
              <w:jc w:val="center"/>
            </w:pPr>
            <w:r/>
            <w:r>
              <w:rPr>
                <w:rFonts w:ascii="Times New Roman" w:hAnsi="Times New Roman"/>
                <w:sz w:val="20"/>
              </w:rPr>
              <w:t>1</w:t>
            </w:r>
          </w:p>
        </w:tc>
      </w:tr>
      <w:tr>
        <w:tc>
          <w:tcPr>
            <w:tcW w:type="dxa" w:w="1984"/>
          </w:tcPr>
          <w:p>
            <w:pPr>
              <w:spacing w:line="240" w:lineRule="auto" w:before="40" w:after="40"/>
              <w:jc w:val="left"/>
            </w:pPr>
            <w:r/>
            <w:r>
              <w:rPr>
                <w:rFonts w:ascii="Times New Roman" w:hAnsi="Times New Roman"/>
                <w:sz w:val="20"/>
              </w:rPr>
              <w:t>TOTAL GENERAL</w:t>
            </w:r>
          </w:p>
        </w:tc>
        <w:tc>
          <w:tcPr>
            <w:tcW w:type="dxa" w:w="2886"/>
          </w:tcPr>
          <w:p>
            <w:pPr>
              <w:spacing w:line="240" w:lineRule="auto" w:before="40" w:after="40"/>
              <w:jc w:val="left"/>
            </w:pPr>
            <w:r/>
            <w:r>
              <w:rPr>
                <w:rFonts w:ascii="Times New Roman" w:hAnsi="Times New Roman"/>
                <w:sz w:val="20"/>
              </w:rPr>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1</w:t>
            </w:r>
          </w:p>
        </w:tc>
        <w:tc>
          <w:tcPr>
            <w:tcW w:type="dxa" w:w="1134"/>
          </w:tcPr>
          <w:p>
            <w:pPr>
              <w:spacing w:line="240" w:lineRule="auto" w:before="40" w:after="40"/>
              <w:jc w:val="center"/>
            </w:pPr>
            <w:r/>
            <w:r>
              <w:rPr>
                <w:rFonts w:ascii="Times New Roman" w:hAnsi="Times New Roman"/>
                <w:sz w:val="20"/>
              </w:rPr>
              <w:t>2</w:t>
            </w:r>
          </w:p>
        </w:tc>
      </w:tr>
    </w:tbl>
    <w:p>
      <w:pPr>
        <w:spacing w:before="120" w:line="240" w:lineRule="auto"/>
      </w:pPr>
      <w:r>
        <w:rPr>
          <w:rFonts w:ascii="Times New Roman" w:hAnsi="Times New Roman"/>
          <w:i/>
          <w:sz w:val="20"/>
        </w:rPr>
        <w:t>Fuente: Información suministrada por el Departamento de Presidencia de la Empresa Mixta Petrolera Venangocupet, S.A. (2026).</w:t>
      </w:r>
    </w:p>
    <w:p>
      <w:pPr>
        <w:spacing w:line="360" w:lineRule="auto" w:after="0" w:before="0"/>
        <w:ind w:firstLine="709"/>
        <w:jc w:val="both"/>
      </w:pPr>
      <w:r>
        <w:rPr>
          <w:rFonts w:ascii="Times New Roman" w:hAnsi="Times New Roman"/>
          <w:i w:val="0"/>
          <w:sz w:val="24"/>
        </w:rPr>
        <w:t>El Departamento de Presidencia cuenta con una fuerza laboral activa de dos (2) personas: el Presidente, de género masculino, y una persona responsable de Secretaría, de género femenino. Para el momento de las pasantías no se reportaron vacantes en esta unidad. Esta población corresponde al departamento donde se ejecutaron las actividades de pasantía y es la directamente vinculada con el flujo documental analizado.</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Venangocupet, S.A. responde a un esquema jerárquico-funcional encabezado por la Junta Directiva y la Presidencia. El Departamento de Presidencia constituye el área donde se desarrollaron las pasantías y actúa como punto de recepción, revisión, firma y despacho de correspondencia ejecutiva. A continuación se presentan el organigrama general de la empresa y el organigrama específico del departamento.</w:t>
      </w:r>
    </w:p>
    <w:p>
      <w:pPr>
        <w:spacing w:before="480"/>
        <w:jc w:val="center"/>
      </w:pPr>
      <w:r>
        <w:drawing>
          <wp:inline xmlns:a="http://schemas.openxmlformats.org/drawingml/2006/main" xmlns:pic="http://schemas.openxmlformats.org/drawingml/2006/picture">
            <wp:extent cx="4320000" cy="3674391"/>
            <wp:docPr id="4" name="Picture 4"/>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4320000" cy="3674391"/>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estructural y niveles jerárquicos de Venangocupet, S.A.</w:t>
      </w:r>
      <w:bookmarkEnd w:id="bm_grafico3"/>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pPr>
        <w:spacing w:before="480"/>
        <w:jc w:val="center"/>
      </w:pPr>
      <w:r>
        <w:drawing>
          <wp:inline xmlns:a="http://schemas.openxmlformats.org/drawingml/2006/main" xmlns:pic="http://schemas.openxmlformats.org/drawingml/2006/picture">
            <wp:extent cx="4320000" cy="2881208"/>
            <wp:docPr id="5" name="Picture 5"/>
            <wp:cNvGraphicFramePr>
              <a:graphicFrameLocks noChangeAspect="1"/>
            </wp:cNvGraphicFramePr>
            <a:graphic>
              <a:graphicData uri="http://schemas.openxmlformats.org/drawingml/2006/picture">
                <pic:pic>
                  <pic:nvPicPr>
                    <pic:cNvPr id="0" name="2.png"/>
                    <pic:cNvPicPr/>
                  </pic:nvPicPr>
                  <pic:blipFill>
                    <a:blip r:embed="rId13"/>
                    <a:stretch>
                      <a:fillRect/>
                    </a:stretch>
                  </pic:blipFill>
                  <pic:spPr>
                    <a:xfrm>
                      <a:off x="0" y="0"/>
                      <a:ext cx="4320000" cy="2881208"/>
                    </a:xfrm>
                    <a:prstGeom prst="rect"/>
                  </pic:spPr>
                </pic:pic>
              </a:graphicData>
            </a:graphic>
          </wp:inline>
        </w:drawing>
      </w:r>
    </w:p>
    <w:p>
      <w:bookmarkStart w:id="bm_grafico4" w:name="bm_grafico4"/>
      <w:pPr>
        <w:spacing w:before="120" w:after="480"/>
        <w:jc w:val="center"/>
      </w:pPr>
      <w:r>
        <w:rPr>
          <w:rFonts w:ascii="Times New Roman" w:hAnsi="Times New Roman"/>
          <w:i/>
          <w:sz w:val="24"/>
        </w:rPr>
        <w:t xml:space="preserve">Gráfico 4. </w:t>
      </w:r>
      <w:r>
        <w:rPr>
          <w:rFonts w:ascii="Times New Roman" w:hAnsi="Times New Roman"/>
          <w:b/>
          <w:sz w:val="24"/>
        </w:rPr>
        <w:t>Organigrama del Departamento de Presidencia.</w:t>
      </w:r>
      <w:bookmarkEnd w:id="bm_grafico4"/>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bookmarkStart w:id="bm_cap1_departamento" w:name="bm_cap1_departamento"/>
      <w:pPr>
        <w:spacing w:before="480" w:after="480" w:line="360" w:lineRule="auto"/>
        <w:jc w:val="left"/>
      </w:pPr>
      <w:r>
        <w:rPr>
          <w:rFonts w:ascii="Times New Roman" w:hAnsi="Times New Roman"/>
          <w:b/>
          <w:sz w:val="24"/>
        </w:rPr>
        <w:t>Descripción del departamento donde realizó la pasantía</w:t>
      </w:r>
      <w:bookmarkEnd w:id="bm_cap1_departamento"/>
    </w:p>
    <w:p>
      <w:pPr>
        <w:spacing w:line="360" w:lineRule="auto" w:after="0" w:before="0"/>
        <w:ind w:firstLine="709"/>
        <w:jc w:val="both"/>
      </w:pPr>
      <w:r>
        <w:rPr>
          <w:rFonts w:ascii="Times New Roman" w:hAnsi="Times New Roman"/>
          <w:i w:val="0"/>
          <w:sz w:val="24"/>
        </w:rPr>
        <w:t>El Departamento de Presidencia fue el área donde se desarrollaron las pasantías y funciona como punto de recepción, revisión, firma y despacho de correspondencia ejecutiva. El flujo observado comprende la recepción externa del documento, la revisión ortográfica y de formato, el registro de ingreso, la entrega al Presidente para firma, el registro de egreso y el despacho al departamento de destino. La práctica también incluyó el registro y actualización de expedientes, la revisión y canalización de correspondencia y la elaboración de reportes.</w:t>
      </w:r>
    </w:p>
    <w:p>
      <w:pPr>
        <w:sectPr>
          <w:footerReference w:type="default" r:id="rId47"/>
          <w:footerReference w:type="first" r:id="rId48"/>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49"/>
          <w:footerReference w:type="first" r:id="rId50"/>
          <w:pgSz w:w="12240" w:h="15840"/>
          <w:pgMar w:top="1701" w:right="1701" w:bottom="1701" w:left="2268" w:header="720" w:footer="720" w:gutter="0"/>
          <w:cols w:space="720"/>
          <w:titlePg/>
          <w:docGrid w:linePitch="360"/>
          <w:pgNumType w:fmt="decimal"/>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las organizaciones que movilizan documentos entre distintas unidades, el control oportuno de cada ingreso, revisión, firma y despacho resulta necesario para conservar la continuidad de los procesos administrativos. Cuando estos movimientos se registran mediante operaciones manuales repetitivas, aumenta la posibilidad de inconsistencias y se requiere mayor tiempo para consolidar información destinada a la toma de decisiones.</w:t>
      </w:r>
    </w:p>
    <w:p>
      <w:pPr>
        <w:spacing w:line="360" w:lineRule="auto" w:after="0" w:before="0"/>
        <w:ind w:firstLine="709"/>
        <w:jc w:val="both"/>
      </w:pPr>
      <w:r>
        <w:rPr>
          <w:rFonts w:ascii="Times New Roman" w:hAnsi="Times New Roman"/>
          <w:i w:val="0"/>
          <w:sz w:val="24"/>
        </w:rPr>
        <w:t>En las unidades administrativas vinculadas con la alta dirección, la gestión documental exige registrar con precisión el recorrido de expedientes que requieren revisión, validación, firma y posterior canalización hacia otras dependencias. La ausencia de herramientas que centralicen el seguimiento puede dificultar la consulta inmediata del estado de cada documento y la preparación de reportes gerenciales cuando coinciden varios movimientos en un mismo período.</w:t>
      </w:r>
    </w:p>
    <w:p>
      <w:pPr>
        <w:spacing w:line="360" w:lineRule="auto" w:after="0" w:before="0"/>
        <w:ind w:firstLine="709"/>
        <w:jc w:val="both"/>
      </w:pPr>
      <w:r>
        <w:rPr>
          <w:rFonts w:ascii="Times New Roman" w:hAnsi="Times New Roman"/>
          <w:i w:val="0"/>
          <w:sz w:val="24"/>
        </w:rPr>
        <w:t>Dentro de la Empresa Mixta Petrolera Venangocupet, S.A., el Departamento de Presidencia funciona como un nodo de tránsito y validación de expedientes. El flujo real comprende la recepción externa del documento, revisión ortográfica y de formato, registro de ingreso, entrega al Presidente para firma, registro de egreso y despacho al departamento de destino. La unidad no genera ni conserva de manera permanente los expedientes que recibe, por lo que la trazabilidad depende de la calidad del registro de cada movimiento.</w:t>
      </w:r>
    </w:p>
    <w:p>
      <w:pPr>
        <w:spacing w:line="360" w:lineRule="auto" w:after="0" w:before="0"/>
        <w:ind w:firstLine="709"/>
        <w:jc w:val="both"/>
      </w:pPr>
      <w:r>
        <w:rPr>
          <w:rFonts w:ascii="Times New Roman" w:hAnsi="Times New Roman"/>
          <w:i w:val="0"/>
          <w:sz w:val="24"/>
        </w:rPr>
        <w:t>Actualmente, este control se realiza mediante hojas de cálculo. En períodos de mayor concurrencia documental, el copiado y pegado de datos repetitivos ralentiza el procesamiento y puede originar duplicación de información u omisión de movimientos. Del mismo modo, cuando la alta dirección solicita un resumen mensual de documentos firmados o el estado de expedientes pendientes, el personal debe filtrar y consolidar manualmente los registros existentes.</w:t>
      </w:r>
    </w:p>
    <w:p>
      <w:pPr>
        <w:spacing w:before="480" w:after="480" w:line="360" w:lineRule="auto"/>
        <w:jc w:val="left"/>
      </w:pPr>
      <w:r>
        <w:rPr>
          <w:rFonts w:ascii="Times New Roman" w:hAnsi="Times New Roman"/>
          <w:b/>
          <w:sz w:val="24"/>
        </w:rPr>
        <w:t>Técnica empleada para el diagnóstico</w:t>
      </w:r>
    </w:p>
    <w:p>
      <w:pPr>
        <w:spacing w:line="360" w:lineRule="auto" w:after="0" w:before="0"/>
        <w:ind w:firstLine="709"/>
        <w:jc w:val="both"/>
      </w:pPr>
      <w:r>
        <w:rPr>
          <w:rFonts w:ascii="Times New Roman" w:hAnsi="Times New Roman"/>
          <w:i w:val="0"/>
          <w:sz w:val="24"/>
        </w:rPr>
        <w:t>Como técnica de análisis de la situación se estructuró un árbol del problema a partir de la observación directa del flujo documental y de la revisión de los registros utilizados por el departamento. El problema central se relaciona con la limitada automatización del control documental; entre sus causas se encuentran la transcripción repetitiva, la ausencia de validaciones automáticas y la dispersión del seguimiento en hojas de cálculo, mientras que sus efectos se reflejan en demoras de registro, dificultad para obtener reportes inmediatos y menor trazabilidad del recorrido de los expedientes.</w:t>
      </w:r>
    </w:p>
    <w:p>
      <w:pPr>
        <w:spacing w:before="480" w:after="480" w:line="360" w:lineRule="auto"/>
        <w:jc w:val="left"/>
      </w:pPr>
      <w:r>
        <w:rPr>
          <w:rFonts w:ascii="Times New Roman" w:hAnsi="Times New Roman"/>
          <w:b/>
          <w:sz w:val="24"/>
        </w:rPr>
        <w:t>Interrogante orientadora</w:t>
      </w:r>
    </w:p>
    <w:p>
      <w:pPr>
        <w:spacing w:line="360" w:lineRule="auto" w:after="0" w:before="0"/>
        <w:ind w:firstLine="709"/>
        <w:jc w:val="both"/>
      </w:pPr>
      <w:r>
        <w:rPr>
          <w:rFonts w:ascii="Times New Roman" w:hAnsi="Times New Roman"/>
          <w:i w:val="0"/>
          <w:sz w:val="24"/>
        </w:rPr>
        <w:t>¿De qué manera puede desarrollarse un sistema automatizado que mejore el control, la trazabilidad y la generación de reportes de los movimientos documentales en el Departamento de Presidencia de Venangocupet, S.A.?</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Desarrollar un prototipo de sistema automatizado para el control, trazabilidad y reporte de movimientos documentales en la Presidencia de la Empresa Mixta Petrolera Venangocupet, S.A.</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revisión, firma y despacho de expedientes en el Departamento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el registro, trazabilidad y generación de reportes de los movimientos documentales.</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 la base de datos y la interfaz gráfica del sistema de acuerdo con el flujo real del Departamento de Presidencia.</w:t>
      </w:r>
    </w:p>
    <w:p>
      <w:pPr>
        <w:spacing w:line="360" w:lineRule="auto"/>
        <w:ind w:firstLine="709"/>
        <w:jc w:val="both"/>
      </w:pPr>
      <w:r>
        <w:rPr>
          <w:rFonts w:ascii="Times New Roman" w:hAnsi="Times New Roman"/>
          <w:sz w:val="24"/>
        </w:rPr>
        <w:t xml:space="preserve">4. </w:t>
      </w:r>
      <w:r>
        <w:rPr>
          <w:rFonts w:ascii="Times New Roman" w:hAnsi="Times New Roman"/>
          <w:sz w:val="24"/>
        </w:rPr>
        <w:t>Implementar y validar el prototipo funcional mediante SQLite y una aplicación de escritorio, comprobando los módulos de registro, consulta, historial y reporte.</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relaciona cada objetivo específico con las actividades técnicas necesarias para el desarrollo y validación del sistema automatizado: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la situación actual del flujo procedimental de recepción, revisión, firma y despacho de expedientes en el Departamento de Presidencia.</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trazabilidad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Observar el ciclo real de los expedientes, describir las etapas y analizar los registros existentes.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Cuaderno de notas y registros de la hoja de cálculo utilizada en el departamento.</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necesarios para el registro, trazabilidad y generación de reportes de los movimientos documentales.</w:t>
            </w:r>
          </w:p>
        </w:tc>
        <w:tc>
          <w:tcPr>
            <w:tcW w:w="1644" w:type="dxa"/>
            <w:shd w:val="clear" w:color="auto" w:fill="D9E1F2"/>
          </w:tcPr>
          <w:p>
            <w:pPr>
              <w:spacing w:before="60" w:after="60" w:line="240" w:lineRule="auto"/>
              <w:jc w:val="both"/>
            </w:pPr>
            <w:r>
              <w:rPr>
                <w:rFonts w:ascii="Times New Roman" w:hAnsi="Times New Roman"/>
                <w:b w:val="0"/>
                <w:color w:val="000000"/>
                <w:sz w:val="20"/>
              </w:rPr>
              <w:t>Requerimientos técnicos y funcionales del sistema.</w:t>
            </w:r>
          </w:p>
        </w:tc>
        <w:tc>
          <w:tcPr>
            <w:tcW w:w="1644" w:type="dxa"/>
            <w:shd w:val="clear" w:color="auto" w:fill="D9E1F2"/>
          </w:tcPr>
          <w:p>
            <w:pPr>
              <w:spacing w:before="60" w:after="60" w:line="240" w:lineRule="auto"/>
              <w:jc w:val="both"/>
            </w:pPr>
            <w:r>
              <w:rPr>
                <w:rFonts w:ascii="Times New Roman" w:hAnsi="Times New Roman"/>
                <w:b w:val="0"/>
                <w:color w:val="000000"/>
                <w:sz w:val="20"/>
              </w:rPr>
              <w:t>Levantar los datos requeridos, reglas de validación, consultas y reportes necesarios para el control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revisión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Formato de requerimientos, notas de trabajo y diccionario de datos.</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Diseñar la arquitectura lógica de la base de datos y la interfaz gráfica del sistema de acuerdo con el flujo real del Departamento de Presidencia.</w:t>
            </w:r>
          </w:p>
        </w:tc>
        <w:tc>
          <w:tcPr>
            <w:tcW w:w="1644" w:type="dxa"/>
            <w:shd w:val="clear" w:color="auto" w:fill="FFFFFF"/>
          </w:tcPr>
          <w:p>
            <w:pPr>
              <w:spacing w:before="60" w:after="60" w:line="240" w:lineRule="auto"/>
              <w:jc w:val="both"/>
            </w:pPr>
            <w:r>
              <w:rPr>
                <w:rFonts w:ascii="Times New Roman" w:hAnsi="Times New Roman"/>
                <w:b w:val="0"/>
                <w:color w:val="000000"/>
                <w:sz w:val="20"/>
              </w:rPr>
              <w:t>Arquitectura lógica e interfaz del sistema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Modelar la relación entre procesos y documentos, normalizar la estructura de datos y diseñar los módulos visuales.</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 datos y diseño de interfaz.</w:t>
            </w:r>
          </w:p>
        </w:tc>
        <w:tc>
          <w:tcPr>
            <w:tcW w:w="1695" w:type="dxa"/>
            <w:shd w:val="clear" w:color="auto" w:fill="FFFFFF"/>
          </w:tcPr>
          <w:p>
            <w:pPr>
              <w:spacing w:before="60" w:after="60" w:line="240" w:lineRule="auto"/>
              <w:jc w:val="both"/>
            </w:pPr>
            <w:r>
              <w:rPr>
                <w:rFonts w:ascii="Times New Roman" w:hAnsi="Times New Roman"/>
                <w:b w:val="0"/>
                <w:color w:val="000000"/>
                <w:sz w:val="20"/>
              </w:rPr>
              <w:t>Herramientas de modelado, editor de código y documentación técnica.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Implementar y validar el prototipo funcional mediante SQLite y una aplicación de escritorio, comprobando los módulos de registro, consulta, historial y reporte.</w:t>
            </w:r>
          </w:p>
        </w:tc>
        <w:tc>
          <w:tcPr>
            <w:tcW w:w="1644" w:type="dxa"/>
            <w:shd w:val="clear" w:color="auto" w:fill="D9E1F2"/>
          </w:tcPr>
          <w:p>
            <w:pPr>
              <w:spacing w:before="60" w:after="60" w:line="240" w:lineRule="auto"/>
              <w:jc w:val="both"/>
            </w:pPr>
            <w:r>
              <w:rPr>
                <w:rFonts w:ascii="Times New Roman" w:hAnsi="Times New Roman"/>
                <w:b w:val="0"/>
                <w:color w:val="000000"/>
                <w:sz w:val="20"/>
              </w:rPr>
              <w:t>Prototipo funcional para el control y reporte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Implementar la base de datos en SQLite, integrar la interfaz de escritorio y ejecutar pruebas funcionales de los módulos.</w:t>
            </w:r>
          </w:p>
        </w:tc>
        <w:tc>
          <w:tcPr>
            <w:tcW w:w="1644" w:type="dxa"/>
            <w:shd w:val="clear" w:color="auto" w:fill="D9E1F2"/>
          </w:tcPr>
          <w:p>
            <w:pPr>
              <w:spacing w:before="60" w:after="60" w:line="240" w:lineRule="auto"/>
              <w:jc w:val="both"/>
            </w:pPr>
            <w:r>
              <w:rPr>
                <w:rFonts w:ascii="Times New Roman" w:hAnsi="Times New Roman"/>
                <w:b w:val="0"/>
                <w:color w:val="000000"/>
                <w:sz w:val="20"/>
              </w:rPr>
              <w:t>Desarrollo de software y pruebas funcionales.</w:t>
            </w:r>
          </w:p>
        </w:tc>
        <w:tc>
          <w:tcPr>
            <w:tcW w:w="1695" w:type="dxa"/>
            <w:shd w:val="clear" w:color="auto" w:fill="D9E1F2"/>
          </w:tcPr>
          <w:p>
            <w:pPr>
              <w:spacing w:before="60" w:after="60" w:line="240" w:lineRule="auto"/>
              <w:jc w:val="both"/>
            </w:pPr>
            <w:r>
              <w:rPr>
                <w:rFonts w:ascii="Times New Roman" w:hAnsi="Times New Roman"/>
                <w:b w:val="0"/>
                <w:color w:val="000000"/>
                <w:sz w:val="20"/>
              </w:rPr>
              <w:t>SQLite, Wails, editor de código y equipo informático.</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organiza las fases de diagnóstico, diseño, implementación y validación del sistema a lo largo de las nueve (9) semanas de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desarrollo del sistema automatizado.</w:t>
      </w:r>
      <w:bookmarkEnd w:id="bm_cuadro2"/>
    </w:p>
    <w:tbl>
      <w:tblPr>
        <w:tblStyle w:val="TableGrid"/>
        <w:tblW w:type="auto" w:w="0"/>
        <w:tblLook w:firstColumn="1" w:firstRow="1" w:lastColumn="0" w:lastRow="0" w:noHBand="0" w:noVBand="1" w:val="04A0"/>
        <w:tblLayout w:type="fixed"/>
      </w:tblPr>
      <w:tblGrid>
        <w:gridCol w:w="2683"/>
        <w:gridCol w:w="556"/>
        <w:gridCol w:w="556"/>
        <w:gridCol w:w="556"/>
        <w:gridCol w:w="556"/>
        <w:gridCol w:w="556"/>
        <w:gridCol w:w="556"/>
        <w:gridCol w:w="556"/>
        <w:gridCol w:w="556"/>
        <w:gridCol w:w="1134"/>
      </w:tblGrid>
      <w:tr>
        <w:tc>
          <w:tcPr>
            <w:tcW w:w="2683" w:type="dxa"/>
            <w:shd w:val="clear" w:color="auto" w:fill="4472C4"/>
          </w:tcPr>
          <w:p>
            <w:pPr>
              <w:spacing w:before="60" w:after="60" w:line="240" w:lineRule="auto"/>
              <w:jc w:val="center"/>
            </w:pPr>
            <w:r>
              <w:rPr>
                <w:rFonts w:ascii="Times New Roman" w:hAnsi="Times New Roman"/>
                <w:b/>
                <w:color w:val="FFFFFF"/>
                <w:sz w:val="20"/>
              </w:rPr>
              <w:t>Semana</w:t>
            </w:r>
          </w:p>
        </w:tc>
        <w:tc>
          <w:tcPr>
            <w:tcW w:w="2224"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224"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1134" w:type="dxa"/>
            <w:shd w:val="clear" w:color="auto" w:fill="4472C4"/>
          </w:tcPr>
          <w:p>
            <w:pPr>
              <w:spacing w:before="60" w:after="60" w:line="240" w:lineRule="auto"/>
              <w:jc w:val="center"/>
            </w:pPr>
            <w:r>
              <w:rPr>
                <w:rFonts w:ascii="Times New Roman" w:hAnsi="Times New Roman"/>
                <w:b/>
                <w:color w:val="FFFFFF"/>
                <w:sz w:val="20"/>
              </w:rPr>
              <w:t>AGOSTO</w:t>
            </w:r>
          </w:p>
        </w:tc>
      </w:tr>
      <w:tr>
        <w:tc>
          <w:tcPr>
            <w:tcW w:w="2683" w:type="dxa"/>
            <w:shd w:val="clear" w:color="auto" w:fill="4472C4"/>
          </w:tcPr>
          <w:p>
            <w:pPr>
              <w:spacing w:before="60" w:after="60" w:line="240" w:lineRule="auto"/>
              <w:jc w:val="center"/>
            </w:pPr>
            <w:r>
              <w:rPr>
                <w:rFonts w:ascii="Times New Roman" w:hAnsi="Times New Roman"/>
                <w:b/>
                <w:color w:val="FFFFFF"/>
                <w:sz w:val="20"/>
              </w:rPr>
              <w:t>Actividad</w:t>
            </w:r>
          </w:p>
        </w:tc>
        <w:tc>
          <w:tcPr>
            <w:tcW w:w="556" w:type="dxa"/>
            <w:shd w:val="clear" w:color="auto" w:fill="4472C4"/>
          </w:tcPr>
          <w:p>
            <w:pPr>
              <w:spacing w:before="60" w:after="60" w:line="240" w:lineRule="auto"/>
              <w:jc w:val="center"/>
            </w:pPr>
            <w:r>
              <w:rPr>
                <w:rFonts w:ascii="Times New Roman" w:hAnsi="Times New Roman"/>
                <w:b/>
                <w:color w:val="FFFFFF"/>
                <w:sz w:val="20"/>
              </w:rPr>
              <w:t>1</w:t>
            </w:r>
          </w:p>
        </w:tc>
        <w:tc>
          <w:tcPr>
            <w:tcW w:w="556" w:type="dxa"/>
            <w:shd w:val="clear" w:color="auto" w:fill="4472C4"/>
          </w:tcPr>
          <w:p>
            <w:pPr>
              <w:spacing w:before="60" w:after="60" w:line="240" w:lineRule="auto"/>
              <w:jc w:val="center"/>
            </w:pPr>
            <w:r>
              <w:rPr>
                <w:rFonts w:ascii="Times New Roman" w:hAnsi="Times New Roman"/>
                <w:b/>
                <w:color w:val="FFFFFF"/>
                <w:sz w:val="20"/>
              </w:rPr>
              <w:t>2</w:t>
            </w:r>
          </w:p>
        </w:tc>
        <w:tc>
          <w:tcPr>
            <w:tcW w:w="556" w:type="dxa"/>
            <w:shd w:val="clear" w:color="auto" w:fill="4472C4"/>
          </w:tcPr>
          <w:p>
            <w:pPr>
              <w:spacing w:before="60" w:after="60" w:line="240" w:lineRule="auto"/>
              <w:jc w:val="center"/>
            </w:pPr>
            <w:r>
              <w:rPr>
                <w:rFonts w:ascii="Times New Roman" w:hAnsi="Times New Roman"/>
                <w:b/>
                <w:color w:val="FFFFFF"/>
                <w:sz w:val="20"/>
              </w:rPr>
              <w:t>3</w:t>
            </w:r>
          </w:p>
        </w:tc>
        <w:tc>
          <w:tcPr>
            <w:tcW w:w="556" w:type="dxa"/>
            <w:shd w:val="clear" w:color="auto" w:fill="4472C4"/>
          </w:tcPr>
          <w:p>
            <w:pPr>
              <w:spacing w:before="60" w:after="60" w:line="240" w:lineRule="auto"/>
              <w:jc w:val="center"/>
            </w:pPr>
            <w:r>
              <w:rPr>
                <w:rFonts w:ascii="Times New Roman" w:hAnsi="Times New Roman"/>
                <w:b/>
                <w:color w:val="FFFFFF"/>
                <w:sz w:val="20"/>
              </w:rPr>
              <w:t>4</w:t>
            </w:r>
          </w:p>
        </w:tc>
        <w:tc>
          <w:tcPr>
            <w:tcW w:w="556" w:type="dxa"/>
            <w:shd w:val="clear" w:color="auto" w:fill="4472C4"/>
          </w:tcPr>
          <w:p>
            <w:pPr>
              <w:spacing w:before="60" w:after="60" w:line="240" w:lineRule="auto"/>
              <w:jc w:val="center"/>
            </w:pPr>
            <w:r>
              <w:rPr>
                <w:rFonts w:ascii="Times New Roman" w:hAnsi="Times New Roman"/>
                <w:b/>
                <w:color w:val="FFFFFF"/>
                <w:sz w:val="20"/>
              </w:rPr>
              <w:t>1</w:t>
            </w:r>
          </w:p>
        </w:tc>
        <w:tc>
          <w:tcPr>
            <w:tcW w:w="556" w:type="dxa"/>
            <w:shd w:val="clear" w:color="auto" w:fill="4472C4"/>
          </w:tcPr>
          <w:p>
            <w:pPr>
              <w:spacing w:before="60" w:after="60" w:line="240" w:lineRule="auto"/>
              <w:jc w:val="center"/>
            </w:pPr>
            <w:r>
              <w:rPr>
                <w:rFonts w:ascii="Times New Roman" w:hAnsi="Times New Roman"/>
                <w:b/>
                <w:color w:val="FFFFFF"/>
                <w:sz w:val="20"/>
              </w:rPr>
              <w:t>2</w:t>
            </w:r>
          </w:p>
        </w:tc>
        <w:tc>
          <w:tcPr>
            <w:tcW w:w="556" w:type="dxa"/>
            <w:shd w:val="clear" w:color="auto" w:fill="4472C4"/>
          </w:tcPr>
          <w:p>
            <w:pPr>
              <w:spacing w:before="60" w:after="60" w:line="240" w:lineRule="auto"/>
              <w:jc w:val="center"/>
            </w:pPr>
            <w:r>
              <w:rPr>
                <w:rFonts w:ascii="Times New Roman" w:hAnsi="Times New Roman"/>
                <w:b/>
                <w:color w:val="FFFFFF"/>
                <w:sz w:val="20"/>
              </w:rPr>
              <w:t>3</w:t>
            </w:r>
          </w:p>
        </w:tc>
        <w:tc>
          <w:tcPr>
            <w:tcW w:w="556" w:type="dxa"/>
            <w:shd w:val="clear" w:color="auto" w:fill="4472C4"/>
          </w:tcPr>
          <w:p>
            <w:pPr>
              <w:spacing w:before="60" w:after="60" w:line="240" w:lineRule="auto"/>
              <w:jc w:val="center"/>
            </w:pPr>
            <w:r>
              <w:rPr>
                <w:rFonts w:ascii="Times New Roman" w:hAnsi="Times New Roman"/>
                <w:b/>
                <w:color w:val="FFFFFF"/>
                <w:sz w:val="20"/>
              </w:rPr>
              <w:t>4</w:t>
            </w:r>
          </w:p>
        </w:tc>
        <w:tc>
          <w:tcPr>
            <w:tcW w:w="1134" w:type="dxa"/>
            <w:shd w:val="clear" w:color="auto" w:fill="4472C4"/>
          </w:tcPr>
          <w:p>
            <w:pPr>
              <w:spacing w:before="60" w:after="60" w:line="240" w:lineRule="auto"/>
              <w:jc w:val="center"/>
            </w:pPr>
            <w:r>
              <w:rPr>
                <w:rFonts w:ascii="Times New Roman" w:hAnsi="Times New Roman"/>
                <w:b/>
                <w:color w:val="FFFFFF"/>
                <w:sz w:val="20"/>
              </w:rPr>
              <w:t>1</w:t>
            </w:r>
          </w:p>
        </w:tc>
      </w:tr>
      <w:tr>
        <w:tc>
          <w:tcPr>
            <w:tcW w:w="2683" w:type="dxa"/>
            <w:shd w:val="clear" w:color="auto" w:fill="D9E1F2"/>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1134"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Implementación de la base de datos relacional en SQLite.</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Desarrollo de la interfaz gráfica y módulos de consulta e historial.</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1134"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Empaquetado de la aplicación de escritorio con Wails.</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Pruebas funcionales y depuración del prototipo.</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1134"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Documentación técnica, manual de usuario e informe académico.</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Validación final, ajustes y presentación del prototipo.</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1134" w:type="dxa"/>
            <w:shd w:val="clear" w:color="auto" w:fill="70AD47"/>
          </w:tcPr>
          <w:p>
            <w:pPr>
              <w:spacing w:before="60" w:after="60" w:line="240" w:lineRule="auto"/>
              <w:jc w:val="center"/>
            </w:pPr>
            <w:r>
              <w:rPr>
                <w:rFonts w:ascii="Times New Roman" w:hAnsi="Times New Roman"/>
                <w:b w:val="0"/>
                <w:color w:val="FFFFFF"/>
                <w:sz w:val="20"/>
              </w:rPr>
              <w:t>✓</w:t>
            </w:r>
          </w:p>
        </w:tc>
      </w:tr>
      <w:tr>
        <w:tc>
          <w:tcPr>
            <w:tcW w:w="2683" w:type="dxa"/>
            <w:shd w:val="clear" w:color="auto" w:fill="D9E1F2"/>
          </w:tcPr>
          <w:p>
            <w:pPr>
              <w:spacing w:before="60" w:after="60" w:line="240" w:lineRule="auto"/>
              <w:jc w:val="both"/>
            </w:pPr>
            <w:r>
              <w:rPr>
                <w:rFonts w:ascii="Times New Roman" w:hAnsi="Times New Roman"/>
                <w:b w:val="0"/>
                <w:color w:val="000000"/>
                <w:sz w:val="20"/>
              </w:rPr>
              <w:t>Inducción institucional y capacitación en seguridad (SIAHO).</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Registro y actualización de expedientes en hoja de cálculo.</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1134" w:type="dxa"/>
            <w:shd w:val="clear" w:color="auto" w:fill="FFFFFF"/>
          </w:tcPr>
          <w:p>
            <w:pPr>
              <w:spacing w:before="60" w:after="60" w:line="240" w:lineRule="auto"/>
              <w:jc w:val="center"/>
            </w:pPr>
            <w:r>
              <w:rPr>
                <w:rFonts w:ascii="Times New Roman" w:hAnsi="Times New Roman"/>
                <w:b w:val="0"/>
                <w:color w:val="000000"/>
                <w:sz w:val="20"/>
              </w:rPr>
            </w:r>
          </w:p>
        </w:tc>
      </w:tr>
      <w:tr>
        <w:tc>
          <w:tcPr>
            <w:tcW w:w="2683" w:type="dxa"/>
            <w:shd w:val="clear" w:color="auto" w:fill="D9E1F2"/>
          </w:tcPr>
          <w:p>
            <w:pPr>
              <w:spacing w:before="60" w:after="60" w:line="240" w:lineRule="auto"/>
              <w:jc w:val="both"/>
            </w:pPr>
            <w:r>
              <w:rPr>
                <w:rFonts w:ascii="Times New Roman" w:hAnsi="Times New Roman"/>
                <w:b w:val="0"/>
                <w:color w:val="000000"/>
                <w:sz w:val="20"/>
              </w:rPr>
              <w:t>Revisión y canalización de correspondencia presidencial.</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556" w:type="dxa"/>
            <w:shd w:val="clear" w:color="auto" w:fill="D9E1F2"/>
          </w:tcPr>
          <w:p>
            <w:pPr>
              <w:spacing w:before="60" w:after="60" w:line="240" w:lineRule="auto"/>
              <w:jc w:val="center"/>
            </w:pPr>
            <w:r>
              <w:rPr>
                <w:rFonts w:ascii="Times New Roman" w:hAnsi="Times New Roman"/>
                <w:b w:val="0"/>
                <w:color w:val="000000"/>
                <w:sz w:val="20"/>
              </w:rPr>
            </w:r>
          </w:p>
        </w:tc>
        <w:tc>
          <w:tcPr>
            <w:tcW w:w="1134" w:type="dxa"/>
            <w:shd w:val="clear" w:color="auto" w:fill="D9E1F2"/>
          </w:tcPr>
          <w:p>
            <w:pPr>
              <w:spacing w:before="60" w:after="60" w:line="240" w:lineRule="auto"/>
              <w:jc w:val="center"/>
            </w:pPr>
            <w:r>
              <w:rPr>
                <w:rFonts w:ascii="Times New Roman" w:hAnsi="Times New Roman"/>
                <w:b w:val="0"/>
                <w:color w:val="000000"/>
                <w:sz w:val="20"/>
              </w:rPr>
            </w:r>
          </w:p>
        </w:tc>
      </w:tr>
      <w:tr>
        <w:tc>
          <w:tcPr>
            <w:tcW w:w="2683" w:type="dxa"/>
            <w:shd w:val="clear" w:color="auto" w:fill="FFFFFF"/>
          </w:tcPr>
          <w:p>
            <w:pPr>
              <w:spacing w:before="60" w:after="60" w:line="240" w:lineRule="auto"/>
              <w:jc w:val="both"/>
            </w:pPr>
            <w:r>
              <w:rPr>
                <w:rFonts w:ascii="Times New Roman" w:hAnsi="Times New Roman"/>
                <w:b w:val="0"/>
                <w:color w:val="000000"/>
                <w:sz w:val="20"/>
              </w:rPr>
              <w:t>Apoyo en generación de reportes y actividades de cierre.</w:t>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FFFFFF"/>
          </w:tcPr>
          <w:p>
            <w:pPr>
              <w:spacing w:before="60" w:after="60" w:line="240" w:lineRule="auto"/>
              <w:jc w:val="center"/>
            </w:pPr>
            <w:r>
              <w:rPr>
                <w:rFonts w:ascii="Times New Roman" w:hAnsi="Times New Roman"/>
                <w:b w:val="0"/>
                <w:color w:val="000000"/>
                <w:sz w:val="20"/>
              </w:rPr>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556" w:type="dxa"/>
            <w:shd w:val="clear" w:color="auto" w:fill="70AD47"/>
          </w:tcPr>
          <w:p>
            <w:pPr>
              <w:spacing w:before="60" w:after="60" w:line="240" w:lineRule="auto"/>
              <w:jc w:val="center"/>
            </w:pPr>
            <w:r>
              <w:rPr>
                <w:rFonts w:ascii="Times New Roman" w:hAnsi="Times New Roman"/>
                <w:b w:val="0"/>
                <w:color w:val="FFFFFF"/>
                <w:sz w:val="20"/>
              </w:rPr>
              <w:t>✓</w:t>
            </w:r>
          </w:p>
        </w:tc>
        <w:tc>
          <w:tcPr>
            <w:tcW w:w="1134" w:type="dxa"/>
            <w:shd w:val="clear" w:color="auto" w:fill="70AD47"/>
          </w:tcPr>
          <w:p>
            <w:pPr>
              <w:spacing w:before="60" w:after="60" w:line="240" w:lineRule="auto"/>
              <w:jc w:val="center"/>
            </w:pPr>
            <w:r>
              <w:rPr>
                <w:rFonts w:ascii="Times New Roman" w:hAnsi="Times New Roman"/>
                <w:b w:val="0"/>
                <w:color w:val="FFFFFF"/>
                <w:sz w:val="20"/>
              </w:rPr>
              <w:t>✓</w:t>
            </w:r>
          </w:p>
        </w:tc>
      </w:tr>
    </w:tbl>
    <w:p>
      <w:pPr>
        <w:sectPr>
          <w:footerReference w:type="default" r:id="rId51"/>
          <w:footerReference w:type="first" r:id="rId52"/>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53"/>
          <w:footerReference w:type="first" r:id="rId54"/>
          <w:pgSz w:w="12240" w:h="15840"/>
          <w:pgMar w:top="1701" w:right="1701" w:bottom="1701" w:left="2268" w:header="720" w:footer="720" w:gutter="0"/>
          <w:cols w:space="720"/>
          <w:titlePg/>
          <w:docGrid w:linePitch="360"/>
          <w:pgNumType w:fmt="decimal"/>
        </w:sectPr>
      </w:pPr>
    </w:p>
    <w:p>
      <w:bookmarkStart w:id="bm_cap3_bases" w:name="bm_cap3_bases"/>
      <w:pPr>
        <w:spacing w:before="480" w:after="480" w:line="360" w:lineRule="auto"/>
        <w:jc w:val="left"/>
      </w:pPr>
      <w:r>
        <w:rPr>
          <w:rFonts w:ascii="Times New Roman" w:hAnsi="Times New Roman"/>
          <w:b/>
          <w:sz w:val="24"/>
        </w:rPr>
        <w:t>Sistemas de Información</w:t>
      </w:r>
      <w:bookmarkEnd w:id="bm_cap3_bases"/>
    </w:p>
    <w:p>
      <w:pPr>
        <w:spacing w:line="360" w:lineRule="auto" w:after="0" w:before="0"/>
        <w:ind w:firstLine="709"/>
        <w:jc w:val="both"/>
      </w:pPr>
      <w:r>
        <w:rPr>
          <w:rFonts w:ascii="Times New Roman" w:hAnsi="Times New Roman"/>
          <w:i w:val="0"/>
          <w:sz w:val="24"/>
        </w:rPr>
        <w:t>Un sistema de información constituye un conjunto organizado de recursos humanos, tecnológicos y procedimentales orientados a la captura, almacenamiento, procesamiento y distribución de datos con el propósito de apoyar la toma de decisiones dentro de una organización. Laudon y Laudon (2016) distinguen entre sistemas de procesamiento de transacciones, sistemas de soporte a la decisión y sistemas de información gerencial, siendo estos últimos los que transforman datos operativos en reportes consolidados de utilidad directiva.</w:t>
      </w:r>
    </w:p>
    <w:p>
      <w:pPr>
        <w:spacing w:line="360" w:lineRule="auto" w:after="0" w:before="0"/>
        <w:ind w:firstLine="709"/>
        <w:jc w:val="both"/>
      </w:pPr>
      <w:r>
        <w:rPr>
          <w:rFonts w:ascii="Times New Roman" w:hAnsi="Times New Roman"/>
          <w:i w:val="0"/>
          <w:sz w:val="24"/>
        </w:rPr>
        <w:t>En el contexto del presente proyecto, el sistema propuesto se enmarca en la categoría de sistema de información operacional con capacidad de reporte gerencial, dado que registra cada movimiento documental de forma transaccional y provee resúmenes inmediatos al nivel de presidencia. Según Kendall y Kendall (2011), el análisis y diseño de sistemas busca comprender sistemáticamente cómo interactúan los datos y los usuarios para proponer soluciones tecnológicas que mejoren el flujo de trabajo de una organización.</w:t>
      </w:r>
    </w:p>
    <w:p>
      <w:pPr>
        <w:spacing w:line="240" w:lineRule="auto" w:before="720" w:after="240"/>
        <w:ind w:left="709" w:right="709"/>
        <w:jc w:val="both"/>
      </w:pPr>
      <w:r>
        <w:rPr>
          <w:rFonts w:ascii="Times New Roman" w:hAnsi="Times New Roman"/>
          <w:sz w:val="24"/>
        </w:rPr>
        <w:t>Los sistemas de información gerencial proporcionan a los administradores informes sobre el desempeño actual de la organización. Esta información se utiliza para supervisar y controlar el negocio y predecir el desempeño futuro. Los sistemas de información gerencial resumen y reportan las operaciones básicas de la empresa usando datos suministrados por los sistemas de procesamiento de transacciones.</w:t>
      </w:r>
      <w:r>
        <w:rPr>
          <w:rFonts w:ascii="Times New Roman" w:hAnsi="Times New Roman"/>
          <w:sz w:val="24"/>
        </w:rPr>
        <w:t xml:space="preserve"> (Laudon y Laudon, 2016, p. 46)</w:t>
      </w:r>
    </w:p>
    <w:p>
      <w:pPr>
        <w:spacing w:line="360" w:lineRule="auto" w:after="0" w:before="0"/>
        <w:ind w:firstLine="709"/>
        <w:jc w:val="both"/>
      </w:pPr>
      <w:r>
        <w:rPr>
          <w:rFonts w:ascii="Times New Roman" w:hAnsi="Times New Roman"/>
          <w:i w:val="0"/>
          <w:sz w:val="24"/>
        </w:rPr>
        <w:t>Desde la perspectiva del autor, el sistema desarrollado debe priorizar información confiable y oportuna para apoyar el control de los movimientos documentales de Presidencia.</w:t>
      </w:r>
    </w:p>
    <w:p>
      <w:pPr>
        <w:spacing w:before="480" w:after="480" w:line="360" w:lineRule="auto"/>
        <w:jc w:val="left"/>
      </w:pPr>
      <w:r>
        <w:rPr>
          <w:rFonts w:ascii="Times New Roman" w:hAnsi="Times New Roman"/>
          <w:b/>
          <w:sz w:val="24"/>
        </w:rPr>
        <w:t>Gestión Documental</w:t>
      </w:r>
    </w:p>
    <w:p>
      <w:pPr>
        <w:spacing w:line="360" w:lineRule="auto" w:after="0" w:before="0"/>
        <w:ind w:firstLine="709"/>
        <w:jc w:val="both"/>
      </w:pPr>
      <w:r>
        <w:rPr>
          <w:rFonts w:ascii="Times New Roman" w:hAnsi="Times New Roman"/>
          <w:i w:val="0"/>
          <w:sz w:val="24"/>
        </w:rPr>
        <w:t>La gestión documental se define como el conjunto de normas, técnicas y prácticas que regulan el ciclo de vida de los documentos dentro de una organización, desde su creación o recepción hasta su disposición final. Cruz Mundet (2011) señala que una gestión documental eficaz garantiza la autenticidad, integridad, fiabilidad y disponibilidad de la información registrada, constituyendo un pilar fundamental para la transparencia administrativa y la continuidad operativa.</w:t>
      </w:r>
    </w:p>
    <w:p>
      <w:pPr>
        <w:spacing w:line="360" w:lineRule="auto" w:after="0" w:before="0"/>
        <w:ind w:firstLine="709"/>
        <w:jc w:val="both"/>
      </w:pPr>
      <w:r>
        <w:rPr>
          <w:rFonts w:ascii="Times New Roman" w:hAnsi="Times New Roman"/>
          <w:i w:val="0"/>
          <w:sz w:val="24"/>
        </w:rPr>
        <w:t>En el Departamento de Presidencia de Venangocupet, S.A., el flujo documental responde a un ciclo específico: recepción del expediente externo, revisión de forma, registro de ingreso, firma presidencial, registro de egreso y despacho al departamento destinatario. La automatización de este ciclo mediante un sistema digitalizado reduce la propensión al error humano y dota al departamento de un historial auditable de cada movimiento, en concordancia con los principios de gestión documental descritos por Cruz Mundet (2011).</w:t>
      </w:r>
    </w:p>
    <w:p>
      <w:pPr>
        <w:spacing w:line="360" w:lineRule="auto" w:after="0" w:before="0"/>
        <w:ind w:firstLine="709"/>
        <w:jc w:val="both"/>
      </w:pPr>
      <w:r>
        <w:rPr>
          <w:rFonts w:ascii="Times New Roman" w:hAnsi="Times New Roman"/>
          <w:i w:val="0"/>
          <w:sz w:val="24"/>
        </w:rPr>
        <w:t>En Venangocupet, la gestión documental debe reflejar el recorrido real de cada expediente, desde su recepción hasta su despacho, sin agregar pasos que no correspondan al proceso.</w:t>
      </w:r>
    </w:p>
    <w:p>
      <w:pPr>
        <w:spacing w:before="480" w:after="480" w:line="360" w:lineRule="auto"/>
        <w:jc w:val="left"/>
      </w:pPr>
      <w:r>
        <w:rPr>
          <w:rFonts w:ascii="Times New Roman" w:hAnsi="Times New Roman"/>
          <w:b/>
          <w:sz w:val="24"/>
        </w:rPr>
        <w:t>Modelo Relacional de Bases de Datos</w:t>
      </w:r>
    </w:p>
    <w:p>
      <w:pPr>
        <w:spacing w:line="360" w:lineRule="auto" w:after="0" w:before="0"/>
        <w:ind w:firstLine="709"/>
        <w:jc w:val="both"/>
      </w:pPr>
      <w:r>
        <w:rPr>
          <w:rFonts w:ascii="Times New Roman" w:hAnsi="Times New Roman"/>
          <w:i w:val="0"/>
          <w:sz w:val="24"/>
        </w:rPr>
        <w:t>El modelo relacional, propuesto originalmente por Codd (1970), organiza la información en tablas bidimensionales denominadas relaciones, cuyos atributos representan las propiedades de las entidades y cuyas filas corresponden a instancias individuales de datos. La fortaleza de este modelo radica en la aplicación de reglas de normalización que eliminan la redundancia y preservan la integridad referencial entre tablas relacionadas mediante claves primarias y foráneas.</w:t>
      </w:r>
    </w:p>
    <w:p>
      <w:pPr>
        <w:spacing w:line="360" w:lineRule="auto" w:after="0" w:before="0"/>
        <w:ind w:firstLine="709"/>
        <w:jc w:val="both"/>
      </w:pPr>
      <w:r>
        <w:rPr>
          <w:rFonts w:ascii="Times New Roman" w:hAnsi="Times New Roman"/>
          <w:i w:val="0"/>
          <w:sz w:val="24"/>
        </w:rPr>
        <w:t>Date (2001) establece que un diseño relacional correctamente normalizado garantiza que cada dato se almacene una sola vez, reduciendo la posibilidad de inconsistencias derivadas de actualizaciones parciales. En el sistema propuesto, la relación entre procesos administrativos y documentos sigue una cardinalidad uno a muchos (1:N), permitiendo registrar múltiples expedientes asociados a un mismo proceso contractual o administrativo sin duplicar los datos maestros del proceso.</w:t>
      </w:r>
    </w:p>
    <w:p>
      <w:pPr>
        <w:spacing w:line="360" w:lineRule="auto" w:after="0" w:before="0"/>
        <w:ind w:firstLine="709"/>
        <w:jc w:val="both"/>
      </w:pPr>
      <w:r>
        <w:rPr>
          <w:rFonts w:ascii="Times New Roman" w:hAnsi="Times New Roman"/>
          <w:i w:val="0"/>
          <w:sz w:val="24"/>
        </w:rPr>
        <w:t>A juicio de quien suscribe, el modelo relacional resulta adecuado porque representa la relación entre procesos y documentos sin duplicar la información que se necesita consultar.</w:t>
      </w:r>
    </w:p>
    <w:p>
      <w:pPr>
        <w:spacing w:before="480" w:after="480" w:line="360" w:lineRule="auto"/>
        <w:jc w:val="left"/>
      </w:pPr>
      <w:r>
        <w:rPr>
          <w:rFonts w:ascii="Times New Roman" w:hAnsi="Times New Roman"/>
          <w:b/>
          <w:sz w:val="24"/>
        </w:rPr>
        <w:t>SQLite como Sistema Gestor de Base de Datos</w:t>
      </w:r>
    </w:p>
    <w:p>
      <w:pPr>
        <w:spacing w:line="360" w:lineRule="auto" w:after="0" w:before="0"/>
        <w:ind w:firstLine="709"/>
        <w:jc w:val="both"/>
      </w:pPr>
      <w:r>
        <w:rPr>
          <w:rFonts w:ascii="Times New Roman" w:hAnsi="Times New Roman"/>
          <w:i w:val="0"/>
          <w:sz w:val="24"/>
        </w:rPr>
        <w:t>SQLite es un motor de base de datos relacional de código abierto, autocontenido y sin servidor, cuya arquitectura embebida lo diferencia de sistemas cliente-servidor convencionales. Su funcionamiento se basa en un único archivo que aloja el esquema y los registros de la base de datos, reduciendo la complejidad de administración para aplicaciones locales.</w:t>
      </w:r>
    </w:p>
    <w:p>
      <w:pPr>
        <w:spacing w:line="360" w:lineRule="auto" w:after="0" w:before="0"/>
        <w:ind w:firstLine="709"/>
        <w:jc w:val="both"/>
      </w:pPr>
      <w:r>
        <w:rPr>
          <w:rFonts w:ascii="Times New Roman" w:hAnsi="Times New Roman"/>
          <w:i w:val="0"/>
          <w:sz w:val="24"/>
        </w:rPr>
        <w:t>Pressman (2010) señala que la selección de herramientas tecnológicas debe considerar las características del entorno de despliegue y los requerimientos reales de la solución. Para el prototipo desarrollado en el Departamento de Presidencia, SQLite permite gestionar las relaciones entre procesos y documentos, conservar el historial de movimientos y ejecutar consultas sin incorporar una infraestructura adicional de servidor.</w:t>
      </w:r>
    </w:p>
    <w:p>
      <w:pPr>
        <w:spacing w:line="360" w:lineRule="auto" w:after="0" w:before="0"/>
        <w:ind w:firstLine="709"/>
        <w:jc w:val="both"/>
      </w:pPr>
      <w:r>
        <w:rPr>
          <w:rFonts w:ascii="Times New Roman" w:hAnsi="Times New Roman"/>
          <w:i w:val="0"/>
          <w:sz w:val="24"/>
        </w:rPr>
        <w:t>La selección de SQLite se fundamenta en su portabilidad, sencillez de despliegue y capacidad para mantener la información del prototipo en un archivo relacional único, características adecuadas para una aplicación de escritorio de alcance departamental.</w:t>
      </w:r>
    </w:p>
    <w:p>
      <w:pPr>
        <w:spacing w:before="480" w:after="480" w:line="360" w:lineRule="auto"/>
        <w:jc w:val="left"/>
      </w:pPr>
      <w:r>
        <w:rPr>
          <w:rFonts w:ascii="Times New Roman" w:hAnsi="Times New Roman"/>
          <w:b/>
          <w:sz w:val="24"/>
        </w:rPr>
        <w:t>Trazabilidad Documental</w:t>
      </w:r>
    </w:p>
    <w:p>
      <w:pPr>
        <w:spacing w:line="360" w:lineRule="auto" w:after="0" w:before="0"/>
        <w:ind w:firstLine="709"/>
        <w:jc w:val="both"/>
      </w:pPr>
      <w:r>
        <w:rPr>
          <w:rFonts w:ascii="Times New Roman" w:hAnsi="Times New Roman"/>
          <w:i w:val="0"/>
          <w:sz w:val="24"/>
        </w:rPr>
        <w:t>La trazabilidad documental se entiende como la capacidad de reconstruir el historial completo de un documento a lo largo de su ciclo de vida, identificando en cada etapa el responsable, la fecha, la acción ejecutada y el estado resultante. Gómez (2019) señala que la trazabilidad constituye el mecanismo central de auditoría en los sistemas de gestión documental, dado que permite verificar la integridad del proceso y detectar cuellos de botella o irregularidades en el flujo.</w:t>
      </w:r>
    </w:p>
    <w:p>
      <w:pPr>
        <w:spacing w:line="360" w:lineRule="auto" w:after="0" w:before="0"/>
        <w:ind w:firstLine="709"/>
        <w:jc w:val="both"/>
      </w:pPr>
      <w:r>
        <w:rPr>
          <w:rFonts w:ascii="Times New Roman" w:hAnsi="Times New Roman"/>
          <w:i w:val="0"/>
          <w:sz w:val="24"/>
        </w:rPr>
        <w:t>En el ámbito de la alta dirección, la trazabilidad cobra especial relevancia porque los expedientes que transitan por la Presidencia frecuentemente están vinculados a procesos contractuales y decisiones gerenciales de impacto organizacional. El sistema propuesto registra automáticamente cada movimiento de ingreso y egreso del expediente, almacenando la fecha, el estatus y el departamento de origen o destino, lo que permite generar reportes de trazabilidad de forma inmediata ante cualquier requerimiento directivo.</w:t>
      </w:r>
    </w:p>
    <w:p>
      <w:pPr>
        <w:spacing w:line="240" w:lineRule="auto" w:before="720" w:after="240"/>
        <w:ind w:left="709" w:right="709"/>
        <w:jc w:val="both"/>
      </w:pPr>
      <w:r>
        <w:rPr>
          <w:rFonts w:ascii="Times New Roman" w:hAnsi="Times New Roman"/>
          <w:sz w:val="24"/>
        </w:rPr>
        <w:t>Un sistema de información eficaz proporciona a los administradores de la organización datos precisos y oportunos, facilitando la auditoría de cada transacción operativa y mejorando sustancialmente la capacidad de respuesta ante requerimientos gerenciales de alto nivel. La ausencia de este tipo de herramientas obliga al personal a invertir tiempo considerable en la búsqueda y consolidación manual de información que debería estar disponible de forma inmediata.</w:t>
      </w:r>
      <w:r>
        <w:rPr>
          <w:rFonts w:ascii="Times New Roman" w:hAnsi="Times New Roman"/>
          <w:sz w:val="24"/>
        </w:rPr>
        <w:t xml:space="preserve"> (Gómez, 2019, p. 45)</w:t>
      </w:r>
    </w:p>
    <w:p>
      <w:pPr>
        <w:spacing w:line="360" w:lineRule="auto" w:after="0" w:before="0"/>
        <w:ind w:firstLine="709"/>
        <w:jc w:val="both"/>
      </w:pPr>
      <w:r>
        <w:rPr>
          <w:rFonts w:ascii="Times New Roman" w:hAnsi="Times New Roman"/>
          <w:i w:val="0"/>
          <w:sz w:val="24"/>
        </w:rPr>
        <w:t>Para este proyecto, la trazabilidad es el elemento que permite demostrar qué ocurrió con cada expediente y ofrecer respuestas verificables a la dirección de la empresa.</w:t>
      </w:r>
    </w:p>
    <w:p>
      <w:pPr>
        <w:spacing w:before="480" w:after="480" w:line="360" w:lineRule="auto"/>
        <w:jc w:val="left"/>
      </w:pPr>
      <w:r>
        <w:rPr>
          <w:rFonts w:ascii="Times New Roman" w:hAnsi="Times New Roman"/>
          <w:b/>
          <w:sz w:val="24"/>
        </w:rPr>
        <w:t>Automatización de Procesos Administrativos</w:t>
      </w:r>
    </w:p>
    <w:p>
      <w:pPr>
        <w:spacing w:line="360" w:lineRule="auto" w:after="0" w:before="0"/>
        <w:ind w:firstLine="709"/>
        <w:jc w:val="both"/>
      </w:pPr>
      <w:r>
        <w:rPr>
          <w:rFonts w:ascii="Times New Roman" w:hAnsi="Times New Roman"/>
          <w:i w:val="0"/>
          <w:sz w:val="24"/>
        </w:rPr>
        <w:t>La automatización de procesos administrativos consiste en la sustitución de tareas manuales repetitivas por flujos de trabajo controlados por sistemas informáticos, con el objetivo de reducir los tiempos de ejecución, minimizar el error humano y liberar al personal para actividades de mayor valor analítico. Laudon y Laudon (2016) plantean que la automatización de procesos de negocio genera mejoras medibles en la productividad organizacional al estandarizar los procedimientos y centralizar el control de la información.</w:t>
      </w:r>
    </w:p>
    <w:p>
      <w:pPr>
        <w:spacing w:line="360" w:lineRule="auto" w:after="0" w:before="0"/>
        <w:ind w:firstLine="709"/>
        <w:jc w:val="both"/>
      </w:pPr>
      <w:r>
        <w:rPr>
          <w:rFonts w:ascii="Times New Roman" w:hAnsi="Times New Roman"/>
          <w:i w:val="0"/>
          <w:sz w:val="24"/>
        </w:rPr>
        <w:t>En el Departamento de Presidencia de Venangocupet, S.A., la automatización se justifica por la naturaleza del proceso actual: el personal destina un porcentaje significativo de su tiempo operativo al copiado y pegado de datos entre documentos y hojas de cálculo, así como a la redacción manual de resúmenes solicitados por la dirección. La implementación del sistema automatizado propuesto traslada estas tareas al software, permitiendo que el personal se concentre en las funciones de revisión y coordinación propias del departamento.</w:t>
      </w:r>
    </w:p>
    <w:p>
      <w:pPr>
        <w:spacing w:line="360" w:lineRule="auto" w:after="0" w:before="0"/>
        <w:ind w:firstLine="709"/>
        <w:jc w:val="both"/>
      </w:pPr>
      <w:r>
        <w:rPr>
          <w:rFonts w:ascii="Times New Roman" w:hAnsi="Times New Roman"/>
          <w:i w:val="0"/>
          <w:sz w:val="24"/>
        </w:rPr>
        <w:t>Desde la posición del autor, automatizar el registro y los reportes permite disminuir tareas repetitivas y dedicar mayor atención a la revisión y canalización de los expedientes.</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la comprobación de la viabilidad técnica, económica y operativa de la solución planteada, sustentada en un diagnóstico de campo que evidencie la situación deficitaria que da origen a la propuesta.</w:t>
      </w:r>
    </w:p>
    <w:p>
      <w:pPr>
        <w:spacing w:line="360" w:lineRule="auto" w:after="0" w:before="0"/>
        <w:ind w:firstLine="709"/>
        <w:jc w:val="both"/>
      </w:pPr>
      <w:r>
        <w:rPr>
          <w:rFonts w:ascii="Times New Roman" w:hAnsi="Times New Roman"/>
          <w:i w:val="0"/>
          <w:sz w:val="24"/>
        </w:rPr>
        <w:t>Arias (2012) complementa esta definición señalando que el proyecto factible no se limita a diagnosticar un problema, sino que avanza hasta proponer y en muchos casos desarrollar la solución, demostrando su aplicabilidad en el contexto real. El presente trabajo se enmarca en esta modalidad al partir de un diagnóstico situacional del flujo documental en Presidencia, proponer una arquitectura tecnológica específica y materializar un prototipo funcional del sistema como evidencia de la viabilidad de la propuesta.</w:t>
      </w:r>
    </w:p>
    <w:p>
      <w:pPr>
        <w:spacing w:line="360" w:lineRule="auto" w:after="0" w:before="0"/>
        <w:ind w:firstLine="709"/>
        <w:jc w:val="both"/>
      </w:pPr>
      <w:r>
        <w:rPr>
          <w:rFonts w:ascii="Times New Roman" w:hAnsi="Times New Roman"/>
          <w:i w:val="0"/>
          <w:sz w:val="24"/>
        </w:rPr>
        <w:t>La modalidad de proyecto factible resulta compatible con el trabajo realizado porque el diagnóstico del flujo documental condujo al diseño, construcción y validación de un prototipo orientado a una necesidad concreta del Departamento de Presidencia.</w:t>
      </w:r>
    </w:p>
    <w:p>
      <w:pPr>
        <w:sectPr>
          <w:footerReference w:type="default" r:id="rId55"/>
          <w:footerReference w:type="first" r:id="rId56"/>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57"/>
          <w:footerReference w:type="first" r:id="rId58"/>
          <w:pgSz w:w="12240" w:h="15840"/>
          <w:pgMar w:top="1701" w:right="1701" w:bottom="1701" w:left="2268" w:header="720" w:footer="720" w:gutter="0"/>
          <w:cols w:space="720"/>
          <w:titlePg/>
          <w:docGrid w:linePitch="360"/>
          <w:pgNumType w:fmt="decimal"/>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nueve (9) semanas de práctica profesional se ejecutaron actividades operativas propias del Departamento de Presidencia y actividades técnicas vinculadas con el diagnóstico, diseño, implementación y validación del sistema automatizado:</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del área administrativa, presentación del equipo de trabajo y revisión de los lineamientos generales de funcionamiento del Departamento de Presidencia.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y mapeo del ciclo real de los documentos en Presidencia, identificación de fallas en el registro manual y levantamiento inicial de los datos requeridos para la trazabilidad.</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Clasificación y registro manual de expedientes físicos en la hoja de cálculo utilizada por la oficina, con actualización de los movimientos correspondientes a los documentos recibidos durante 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Validación de requerimientos con el tutor industrial, construcción del diagrama Entidad-Relación, normalización del esquema propuesto y elaboración del diccionario de datos.</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Procesamiento y actualización del estatus de expedientes en el archivo de control de la oficina, apoyando el seguimiento de los documentos recibidos y despachados durante la semana.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Implementación de la estructura relacional en SQLite, carga de registros de prueba, construcción de formularios de captura y programación de consultas de trazabilidad.</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Asistencia a la charla técnica sobre Identificación y Notificación de Peligros y Riesgos en Instalaciones y Puestos de Trabajo dictada por el departamento de SIAHO, junto con labores regulares de registro documental.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Programación del entorno visual de escritorio, estructuración de los módulos de la interfaz y organización del código fuente del prototipo.</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Revisión ortográfica y de formato de correspondencia presidencial, y apoyo en la canalización de expedientes hacia su departamento de destino después de la firma presidencial.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Desarrollo de los módulos de consulta e historial de movimientos e integración de la visualización de expedientes asociados a cada proceso administrativo.</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revisión y despacho de correspondencia presidencial y apoyo en el registro de salida de expedientes firmados durante 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Empaquetado de la aplicación de escritorio mediante Wails, integración del entorno visual y generación de un ejecutable autónomo para las pruebas funcionales del prototipo.</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elaboración manual de resúmenes de estatus de expedientes solicitados por la alta dirección a partir de los registros disponibles en la hoja de cálculo.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Ejecución de pruebas funcionales, depuración de errores y verificación de los módulos de registro, trazabilidad, consulta e informes utilizando datos de prueba representativos del flujo departamental.</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Participación en las actividades regulares del Departamento de Presidencia y apoyo en la organización y seguimiento de los expedientes correspondientes al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del informe de pasantías, elaboración del manual de usuario y organización técnica del código fuente y los entregables del prototipo.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del prototipo funcional ante la tutora industrial para su evaluación, recepción de observaciones y gestión de los recaudos correspondientes al cierre de la pasantía.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del informe académico, incorporación de las observaciones recibidas y preparación de los anexos definitivos para la entrega institucional.</w:t>
      </w:r>
    </w:p>
    <w:p>
      <w:pPr>
        <w:sectPr>
          <w:footerReference w:type="default" r:id="rId59"/>
          <w:footerReference w:type="first" r:id="rId60"/>
          <w:type w:val="continuous"/>
          <w:pgSz w:w="12240" w:h="15840"/>
          <w:pgMar w:top="1701" w:right="1701" w:bottom="1701" w:left="2268" w:header="720" w:footer="720" w:gutter="0"/>
          <w:cols w:space="720"/>
          <w:titlePg/>
          <w:docGrid w:linePitch="360"/>
          <w:pgNumType w:fmt="decimal"/>
        </w:sectPr>
      </w:pPr>
    </w:p>
    <w:p>
      <w:pPr>
        <w:spacing w:before="1140" w:after="480"/>
        <w:jc w:val="center"/>
      </w:pPr>
      <w:r>
        <w:rPr>
          <w:rFonts w:ascii="Times New Roman" w:hAnsi="Times New Roman"/>
          <w:b/>
          <w:sz w:val="24"/>
        </w:rPr>
        <w:t>CAPÍTULO V</w:t>
      </w:r>
    </w:p>
    <w:p>
      <w:bookmarkStart w:id="bm_cap5" w:name="bm_cap5"/>
      <w:pPr>
        <w:spacing w:before="480"/>
        <w:jc w:val="center"/>
      </w:pPr>
      <w:r>
        <w:rPr>
          <w:rFonts w:ascii="Times New Roman" w:hAnsi="Times New Roman"/>
          <w:b/>
          <w:sz w:val="24"/>
        </w:rPr>
        <w:t>CONCLUSIONES Y RECOMENDACIONES</w:t>
      </w:r>
      <w:bookmarkEnd w:id="bm_cap5"/>
    </w:p>
    <w:p>
      <w:pPr>
        <w:sectPr>
          <w:footerReference w:type="default" r:id="rId61"/>
          <w:footerReference w:type="first" r:id="rId62"/>
          <w:pgSz w:w="12240" w:h="15840"/>
          <w:pgMar w:top="1701" w:right="1701" w:bottom="1701" w:left="2268" w:header="720" w:footer="720" w:gutter="0"/>
          <w:cols w:space="720"/>
          <w:titlePg/>
          <w:docGrid w:linePitch="360"/>
          <w:pgNumType w:fmt="decimal"/>
        </w:sectPr>
      </w:pPr>
    </w:p>
    <w:p>
      <w:bookmarkStart w:id="bm_cap5_concl" w:name="bm_cap5_concl"/>
      <w:pPr>
        <w:spacing w:before="480" w:after="480" w:line="360" w:lineRule="auto"/>
        <w:jc w:val="left"/>
      </w:pPr>
      <w:r>
        <w:rPr>
          <w:rFonts w:ascii="Times New Roman" w:hAnsi="Times New Roman"/>
          <w:b/>
          <w:sz w:val="24"/>
        </w:rPr>
        <w:t>Conclusiones</w:t>
      </w:r>
      <w:bookmarkEnd w:id="bm_cap5_concl"/>
    </w:p>
    <w:p>
      <w:pPr>
        <w:spacing w:line="360" w:lineRule="auto"/>
        <w:ind w:firstLine="709"/>
        <w:jc w:val="both"/>
      </w:pPr>
      <w:r>
        <w:rPr>
          <w:rFonts w:ascii="Times New Roman" w:hAnsi="Times New Roman"/>
          <w:sz w:val="24"/>
        </w:rPr>
        <w:t xml:space="preserve">1. </w:t>
      </w:r>
      <w:r>
        <w:rPr>
          <w:rFonts w:ascii="Times New Roman" w:hAnsi="Times New Roman"/>
          <w:sz w:val="24"/>
        </w:rPr>
        <w:t>Se diagnosticó que el control manual en hojas de cálculo puede generar cuellos de botella cuando aumenta la concurrencia de expedientes, debido a la repetición de datos y a la ausencia de validaciones automáticas que faciliten el seguimiento del recorrido documental.</w:t>
      </w:r>
    </w:p>
    <w:p>
      <w:pPr>
        <w:spacing w:line="360" w:lineRule="auto"/>
        <w:ind w:firstLine="709"/>
        <w:jc w:val="both"/>
      </w:pPr>
      <w:r>
        <w:rPr>
          <w:rFonts w:ascii="Times New Roman" w:hAnsi="Times New Roman"/>
          <w:sz w:val="24"/>
        </w:rPr>
        <w:t xml:space="preserve">2. </w:t>
      </w:r>
      <w:r>
        <w:rPr>
          <w:rFonts w:ascii="Times New Roman" w:hAnsi="Times New Roman"/>
          <w:sz w:val="24"/>
        </w:rPr>
        <w:t>Se determinaron como requerimientos esenciales del sistema el registro de ingreso y egreso de expedientes, la asociación de múltiples documentos con un mismo proceso, la consulta del historial de movimientos y la generación de reportes resumidos para la Presidencia.</w:t>
      </w:r>
    </w:p>
    <w:p>
      <w:pPr>
        <w:spacing w:line="360" w:lineRule="auto"/>
        <w:ind w:firstLine="709"/>
        <w:jc w:val="both"/>
      </w:pPr>
      <w:r>
        <w:rPr>
          <w:rFonts w:ascii="Times New Roman" w:hAnsi="Times New Roman"/>
          <w:sz w:val="24"/>
        </w:rPr>
        <w:t xml:space="preserve">3. </w:t>
      </w:r>
      <w:r>
        <w:rPr>
          <w:rFonts w:ascii="Times New Roman" w:hAnsi="Times New Roman"/>
          <w:sz w:val="24"/>
        </w:rPr>
        <w:t>Se diseñó una arquitectura relacional normalizada con SQLite y una interfaz de escritorio orientada a conservar una dinámica de uso sencilla, representando la relación uno a muchos entre procesos y documentos sin alterar el flujo operativo del departamento.</w:t>
      </w:r>
    </w:p>
    <w:p>
      <w:pPr>
        <w:spacing w:line="360" w:lineRule="auto"/>
        <w:ind w:firstLine="709"/>
        <w:jc w:val="both"/>
      </w:pPr>
      <w:r>
        <w:rPr>
          <w:rFonts w:ascii="Times New Roman" w:hAnsi="Times New Roman"/>
          <w:sz w:val="24"/>
        </w:rPr>
        <w:t xml:space="preserve">4. </w:t>
      </w:r>
      <w:r>
        <w:rPr>
          <w:rFonts w:ascii="Times New Roman" w:hAnsi="Times New Roman"/>
          <w:sz w:val="24"/>
        </w:rPr>
        <w:t>Se implementó y validó un prototipo funcional que integra los módulos de registro, consulta, historial y reporte, demostrando la viabilidad técnica de automatizar el control documental y reducir la dependencia de operaciones manuales repetitivas.</w:t>
      </w:r>
    </w:p>
    <w:p>
      <w:bookmarkStart w:id="bm_cap5_recom" w:name="bm_cap5_recom"/>
      <w:pPr>
        <w:spacing w:before="480" w:after="480" w:line="360" w:lineRule="auto"/>
        <w:jc w:val="left"/>
      </w:pPr>
      <w:r>
        <w:rPr>
          <w:rFonts w:ascii="Times New Roman" w:hAnsi="Times New Roman"/>
          <w:b/>
          <w:sz w:val="24"/>
        </w:rPr>
        <w:t>Recomendaciones</w:t>
      </w:r>
      <w:bookmarkEnd w:id="bm_cap5_recom"/>
    </w:p>
    <w:p>
      <w:pPr>
        <w:spacing w:line="360" w:lineRule="auto"/>
        <w:ind w:firstLine="709"/>
        <w:jc w:val="both"/>
      </w:pPr>
      <w:r>
        <w:rPr>
          <w:rFonts w:ascii="Times New Roman" w:hAnsi="Times New Roman"/>
          <w:sz w:val="24"/>
        </w:rPr>
        <w:t xml:space="preserve">1. </w:t>
      </w:r>
      <w:r>
        <w:rPr>
          <w:rFonts w:ascii="Times New Roman" w:hAnsi="Times New Roman"/>
          <w:sz w:val="24"/>
        </w:rPr>
        <w:t>Incorporar progresivamente al sistema los registros históricos que deban conservarse para consulta, verificando previamente la integridad de la información antes de su migración.</w:t>
      </w:r>
    </w:p>
    <w:p>
      <w:pPr>
        <w:spacing w:line="360" w:lineRule="auto"/>
        <w:ind w:firstLine="709"/>
        <w:jc w:val="both"/>
      </w:pPr>
      <w:r>
        <w:rPr>
          <w:rFonts w:ascii="Times New Roman" w:hAnsi="Times New Roman"/>
          <w:sz w:val="24"/>
        </w:rPr>
        <w:t xml:space="preserve">2. </w:t>
      </w:r>
      <w:r>
        <w:rPr>
          <w:rFonts w:ascii="Times New Roman" w:hAnsi="Times New Roman"/>
          <w:sz w:val="24"/>
        </w:rPr>
        <w:t>Capacitar al personal del Departamento de Presidencia en el uso de los módulos de registro, consulta, historial y generación de reportes, utilizando ejemplos del flujo cotidiano de expedientes.</w:t>
      </w:r>
    </w:p>
    <w:p>
      <w:pPr>
        <w:spacing w:line="360" w:lineRule="auto"/>
        <w:ind w:firstLine="709"/>
        <w:jc w:val="both"/>
      </w:pPr>
      <w:r>
        <w:rPr>
          <w:rFonts w:ascii="Times New Roman" w:hAnsi="Times New Roman"/>
          <w:sz w:val="24"/>
        </w:rPr>
        <w:t xml:space="preserve">3. </w:t>
      </w:r>
      <w:r>
        <w:rPr>
          <w:rFonts w:ascii="Times New Roman" w:hAnsi="Times New Roman"/>
          <w:sz w:val="24"/>
        </w:rPr>
        <w:t>Establecer una rutina periódica de respaldo del archivo de base de datos en una ubicación segura y definida por la organización, con el fin de preservar la continuidad del historial documental.</w:t>
      </w:r>
    </w:p>
    <w:p>
      <w:pPr>
        <w:spacing w:line="360" w:lineRule="auto"/>
        <w:ind w:firstLine="709"/>
        <w:jc w:val="both"/>
      </w:pPr>
      <w:r>
        <w:rPr>
          <w:rFonts w:ascii="Times New Roman" w:hAnsi="Times New Roman"/>
          <w:sz w:val="24"/>
        </w:rPr>
        <w:t xml:space="preserve">4. </w:t>
      </w:r>
      <w:r>
        <w:rPr>
          <w:rFonts w:ascii="Times New Roman" w:hAnsi="Times New Roman"/>
          <w:sz w:val="24"/>
        </w:rPr>
        <w:t>Evaluar en fases posteriores la incorporación de nuevas funciones únicamente cuando respondan a necesidades reales del flujo de Presidencia, evitando agregar pasos que compliquen el proceso actual.</w:t>
      </w:r>
    </w:p>
    <w:p>
      <w:pPr>
        <w:sectPr>
          <w:footerReference w:type="default" r:id="rId63"/>
          <w:footerReference w:type="first" r:id="rId64"/>
          <w:type w:val="continuous"/>
          <w:pgSz w:w="12240" w:h="15840"/>
          <w:pgMar w:top="1701" w:right="1701" w:bottom="1701" w:left="2268" w:header="720" w:footer="720" w:gutter="0"/>
          <w:cols w:space="720"/>
          <w:titlePg/>
          <w:docGrid w:linePitch="360"/>
          <w:pgNumType w:fmt="decimal"/>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65"/>
          <w:footerReference w:type="first" r:id="rId66"/>
          <w:pgSz w:w="12240" w:h="15840"/>
          <w:pgMar w:top="1701" w:right="1701" w:bottom="1701" w:left="2268" w:header="720" w:footer="720" w:gutter="0"/>
          <w:cols w:space="720"/>
          <w:titlePg/>
          <w:docGrid w:linePitch="360"/>
          <w:pgNumType w:fmt="decimal"/>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Codd, E. F. (1970). A relational model of data for large shared data banks. Communications of the ACM, 13(6), 377-387.</w:t>
      </w:r>
    </w:p>
    <w:p>
      <w:pPr>
        <w:spacing w:line="240" w:lineRule="auto" w:after="480" w:before="0"/>
        <w:ind w:left="425" w:hanging="425"/>
        <w:jc w:val="both"/>
      </w:pPr>
      <w:r>
        <w:rPr>
          <w:rFonts w:ascii="Times New Roman" w:hAnsi="Times New Roman"/>
          <w:sz w:val="24"/>
        </w:rPr>
        <w:t>Cruz Mundet, J. R. (2011). Administración de documentos y archivos: Textos fundamentales. Coordinadora de Asociaciones de Archiveros, España.</w:t>
      </w:r>
    </w:p>
    <w:p>
      <w:pPr>
        <w:spacing w:line="240" w:lineRule="auto" w:after="480" w:before="0"/>
        <w:ind w:left="425" w:hanging="425"/>
        <w:jc w:val="both"/>
      </w:pPr>
      <w:r>
        <w:rPr>
          <w:rFonts w:ascii="Times New Roman" w:hAnsi="Times New Roman"/>
          <w:sz w:val="24"/>
        </w:rPr>
        <w:t>Date, C. J. (2001). Introducción a los sistemas de bases de datos (7ma ed.). Pearson Educación, México.</w:t>
      </w:r>
    </w:p>
    <w:p>
      <w:pPr>
        <w:spacing w:line="240" w:lineRule="auto" w:after="480" w:before="0"/>
        <w:ind w:left="425" w:hanging="425"/>
        <w:jc w:val="both"/>
      </w:pPr>
      <w:r>
        <w:rPr>
          <w:rFonts w:ascii="Times New Roman" w:hAnsi="Times New Roman"/>
          <w:sz w:val="24"/>
        </w:rPr>
        <w:t>Gómez, R. (2019). Gestión Documental y Sistemas. Editorial Trillas, México.</w:t>
      </w:r>
    </w:p>
    <w:p>
      <w:pPr>
        <w:spacing w:line="240" w:lineRule="auto" w:after="480" w:before="0"/>
        <w:ind w:left="425" w:hanging="425"/>
        <w:jc w:val="both"/>
      </w:pPr>
      <w:r>
        <w:rPr>
          <w:rFonts w:ascii="Times New Roman" w:hAnsi="Times New Roman"/>
          <w:sz w:val="24"/>
        </w:rPr>
        <w:t>Kendall, K., y Kendall, J. (2011). Análisis y diseño de sistemas (8va ed.). Pearson Educación, México.</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Pressman, R. (2010). Ingeniería de Software: Un enfoque práctico (7ma ed.). McGraw-Hill,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67"/>
          <w:footerReference w:type="first" r:id="rId68"/>
          <w:type w:val="continuous"/>
          <w:pgSz w:w="12240" w:h="15840"/>
          <w:pgMar w:top="1701" w:right="1701" w:bottom="1701" w:left="2268" w:header="720" w:footer="720" w:gutter="0"/>
          <w:cols w:space="720"/>
          <w:titlePg/>
          <w:docGrid w:linePitch="360"/>
          <w:pgNumType w:fmt="decimal"/>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69"/>
          <w:pgSz w:w="12240" w:h="15840"/>
          <w:pgMar w:top="1701" w:right="1701" w:bottom="1701" w:left="2268" w:header="720" w:footer="720" w:gutter="0"/>
          <w:cols w:space="720"/>
          <w:docGrid w:linePitch="360"/>
          <w:pgNumType w:fmt="decimal"/>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[Árbol del problema del control de movimientos documentales]</w:t>
      </w:r>
    </w:p>
    <w:p>
      <w:pPr>
        <w:jc w:val="center"/>
      </w:pPr>
      <w:r>
        <w:drawing>
          <wp:inline xmlns:a="http://schemas.openxmlformats.org/drawingml/2006/main" xmlns:pic="http://schemas.openxmlformats.org/drawingml/2006/picture">
            <wp:extent cx="3960000" cy="2317669"/>
            <wp:docPr id="6" name="Picture 6"/>
            <wp:cNvGraphicFramePr>
              <a:graphicFrameLocks noChangeAspect="1"/>
            </wp:cNvGraphicFramePr>
            <a:graphic>
              <a:graphicData uri="http://schemas.openxmlformats.org/drawingml/2006/picture">
                <pic:pic>
                  <pic:nvPicPr>
                    <pic:cNvPr id="0" name="3.png"/>
                    <pic:cNvPicPr/>
                  </pic:nvPicPr>
                  <pic:blipFill>
                    <a:blip r:embed="rId14"/>
                    <a:stretch>
                      <a:fillRect/>
                    </a:stretch>
                  </pic:blipFill>
                  <pic:spPr>
                    <a:xfrm>
                      <a:off x="0" y="0"/>
                      <a:ext cx="3960000" cy="2317669"/>
                    </a:xfrm>
                    <a:prstGeom prst="rect"/>
                  </pic:spPr>
                </pic:pic>
              </a:graphicData>
            </a:graphic>
          </wp:inline>
        </w:drawing>
      </w:r>
    </w:p>
    <w:p>
      <w:pPr>
        <w:sectPr>
          <w:footerReference w:type="default" r:id="rId70"/>
          <w:pgSz w:w="12240" w:h="15840"/>
          <w:pgMar w:top="1701" w:right="1701" w:bottom="1701" w:left="2268" w:header="720" w:footer="720" w:gutter="0"/>
          <w:cols w:space="720"/>
          <w:docGrid w:linePitch="360"/>
          <w:pgNumType w:fmt="decimal"/>
        </w:sectPr>
      </w:pPr>
    </w:p>
    <w:p>
      <w:bookmarkStart w:id="bm_anexoB" w:name="bm_anexoB"/>
      <w:pPr>
        <w:spacing w:before="0" w:after="480"/>
        <w:jc w:val="center"/>
      </w:pPr>
      <w:bookmarkEnd w:id="bm_anexoB"/>
      <w:r>
        <w:rPr>
          <w:rFonts w:ascii="Times New Roman" w:hAnsi="Times New Roman"/>
          <w:b/>
          <w:sz w:val="24"/>
        </w:rPr>
        <w:t>ANEXO B</w:t>
      </w:r>
    </w:p>
    <w:p>
      <w:pPr>
        <w:spacing w:before="240" w:after="480"/>
        <w:jc w:val="center"/>
      </w:pPr>
      <w:r>
        <w:rPr>
          <w:rFonts w:ascii="Times New Roman" w:hAnsi="Times New Roman"/>
          <w:b/>
          <w:sz w:val="24"/>
        </w:rPr>
        <w:t>[Flujograma AS-IS del proceso documental actual de Presidencia]</w:t>
      </w:r>
    </w:p>
    <w:p>
      <w:pPr>
        <w:jc w:val="center"/>
      </w:pPr>
      <w:r>
        <w:drawing>
          <wp:inline xmlns:a="http://schemas.openxmlformats.org/drawingml/2006/main" xmlns:pic="http://schemas.openxmlformats.org/drawingml/2006/picture">
            <wp:extent cx="3960000" cy="4934286"/>
            <wp:docPr id="7" name="Picture 7"/>
            <wp:cNvGraphicFramePr>
              <a:graphicFrameLocks noChangeAspect="1"/>
            </wp:cNvGraphicFramePr>
            <a:graphic>
              <a:graphicData uri="http://schemas.openxmlformats.org/drawingml/2006/picture">
                <pic:pic>
                  <pic:nvPicPr>
                    <pic:cNvPr id="0" name="02_flujo_as_is_presidencia.png"/>
                    <pic:cNvPicPr/>
                  </pic:nvPicPr>
                  <pic:blipFill>
                    <a:blip r:embed="rId15"/>
                    <a:stretch>
                      <a:fillRect/>
                    </a:stretch>
                  </pic:blipFill>
                  <pic:spPr>
                    <a:xfrm>
                      <a:off x="0" y="0"/>
                      <a:ext cx="3960000" cy="4934286"/>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1"/>
          <w:pgSz w:w="12240" w:h="15840"/>
          <w:pgMar w:top="1701" w:right="1701" w:bottom="1701" w:left="2268" w:header="720" w:footer="720" w:gutter="0"/>
          <w:cols w:space="720"/>
          <w:docGrid w:linePitch="360"/>
          <w:pgNumType w:fmt="decimal"/>
        </w:sectPr>
      </w:pPr>
    </w:p>
    <w:p>
      <w:bookmarkStart w:id="bm_anexoC" w:name="bm_anexoC"/>
      <w:pPr>
        <w:spacing w:before="0" w:after="480"/>
        <w:jc w:val="center"/>
      </w:pPr>
      <w:bookmarkEnd w:id="bm_anexoC"/>
      <w:r>
        <w:rPr>
          <w:rFonts w:ascii="Times New Roman" w:hAnsi="Times New Roman"/>
          <w:b/>
          <w:sz w:val="24"/>
        </w:rPr>
        <w:t>ANEXO C</w:t>
      </w:r>
    </w:p>
    <w:p>
      <w:pPr>
        <w:spacing w:before="240" w:after="480"/>
        <w:jc w:val="center"/>
      </w:pPr>
      <w:r>
        <w:rPr>
          <w:rFonts w:ascii="Times New Roman" w:hAnsi="Times New Roman"/>
          <w:b/>
          <w:sz w:val="24"/>
        </w:rPr>
        <w:t>[Flujograma TO-BE del proceso con el sistema automatizado]</w:t>
      </w:r>
    </w:p>
    <w:p>
      <w:pPr>
        <w:jc w:val="center"/>
      </w:pPr>
      <w:r>
        <w:drawing>
          <wp:inline xmlns:a="http://schemas.openxmlformats.org/drawingml/2006/main" xmlns:pic="http://schemas.openxmlformats.org/drawingml/2006/picture">
            <wp:extent cx="2959378" cy="5400000"/>
            <wp:docPr id="8" name="Picture 8"/>
            <wp:cNvGraphicFramePr>
              <a:graphicFrameLocks noChangeAspect="1"/>
            </wp:cNvGraphicFramePr>
            <a:graphic>
              <a:graphicData uri="http://schemas.openxmlformats.org/drawingml/2006/picture">
                <pic:pic>
                  <pic:nvPicPr>
                    <pic:cNvPr id="0" name="03_flujo_to_be_sistema_automatizado.png"/>
                    <pic:cNvPicPr/>
                  </pic:nvPicPr>
                  <pic:blipFill>
                    <a:blip r:embed="rId16"/>
                    <a:stretch>
                      <a:fillRect/>
                    </a:stretch>
                  </pic:blipFill>
                  <pic:spPr>
                    <a:xfrm>
                      <a:off x="0" y="0"/>
                      <a:ext cx="2959378" cy="54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2"/>
          <w:pgSz w:w="12240" w:h="15840"/>
          <w:pgMar w:top="1701" w:right="1701" w:bottom="1701" w:left="2268" w:header="720" w:footer="720" w:gutter="0"/>
          <w:cols w:space="720"/>
          <w:docGrid w:linePitch="360"/>
          <w:pgNumType w:fmt="decimal"/>
        </w:sectPr>
      </w:pPr>
    </w:p>
    <w:p>
      <w:bookmarkStart w:id="bm_anexoD" w:name="bm_anexoD"/>
      <w:pPr>
        <w:spacing w:before="0" w:after="480"/>
        <w:jc w:val="center"/>
      </w:pPr>
      <w:bookmarkEnd w:id="bm_anexoD"/>
      <w:r>
        <w:rPr>
          <w:rFonts w:ascii="Times New Roman" w:hAnsi="Times New Roman"/>
          <w:b/>
          <w:sz w:val="24"/>
        </w:rPr>
        <w:t>ANEXO D</w:t>
      </w:r>
    </w:p>
    <w:p>
      <w:pPr>
        <w:spacing w:before="240" w:after="480"/>
        <w:jc w:val="center"/>
      </w:pPr>
      <w:r>
        <w:rPr>
          <w:rFonts w:ascii="Times New Roman" w:hAnsi="Times New Roman"/>
          <w:b/>
          <w:sz w:val="24"/>
        </w:rPr>
        <w:t>[Modelo relacional documental del prototipo]</w:t>
      </w:r>
    </w:p>
    <w:p>
      <w:pPr>
        <w:jc w:val="center"/>
      </w:pPr>
      <w:r>
        <w:drawing>
          <wp:inline xmlns:a="http://schemas.openxmlformats.org/drawingml/2006/main" xmlns:pic="http://schemas.openxmlformats.org/drawingml/2006/picture">
            <wp:extent cx="4160526" cy="3600000"/>
            <wp:docPr id="9" name="Picture 9"/>
            <wp:cNvGraphicFramePr>
              <a:graphicFrameLocks noChangeAspect="1"/>
            </wp:cNvGraphicFramePr>
            <a:graphic>
              <a:graphicData uri="http://schemas.openxmlformats.org/drawingml/2006/picture">
                <pic:pic>
                  <pic:nvPicPr>
                    <pic:cNvPr id="0" name="04_modelo_relacional_documental.png"/>
                    <pic:cNvPicPr/>
                  </pic:nvPicPr>
                  <pic:blipFill>
                    <a:blip r:embed="rId17"/>
                    <a:stretch>
                      <a:fillRect/>
                    </a:stretch>
                  </pic:blipFill>
                  <pic:spPr>
                    <a:xfrm>
                      <a:off x="0" y="0"/>
                      <a:ext cx="4160526" cy="36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3"/>
          <w:pgSz w:w="12240" w:h="15840"/>
          <w:pgMar w:top="1701" w:right="1701" w:bottom="1701" w:left="2268" w:header="720" w:footer="720" w:gutter="0"/>
          <w:cols w:space="720"/>
          <w:docGrid w:linePitch="360"/>
          <w:pgNumType w:fmt="decimal"/>
        </w:sectPr>
      </w:pPr>
    </w:p>
    <w:p>
      <w:bookmarkStart w:id="bm_anexoE" w:name="bm_anexoE"/>
      <w:pPr>
        <w:spacing w:before="0" w:after="480"/>
        <w:jc w:val="center"/>
      </w:pPr>
      <w:bookmarkEnd w:id="bm_anexoE"/>
      <w:r>
        <w:rPr>
          <w:rFonts w:ascii="Times New Roman" w:hAnsi="Times New Roman"/>
          <w:b/>
          <w:sz w:val="24"/>
        </w:rPr>
        <w:t>ANEXO E</w:t>
      </w:r>
    </w:p>
    <w:p>
      <w:pPr>
        <w:spacing w:before="240" w:after="480"/>
        <w:jc w:val="center"/>
      </w:pPr>
      <w:r>
        <w:rPr>
          <w:rFonts w:ascii="Times New Roman" w:hAnsi="Times New Roman"/>
          <w:b/>
          <w:sz w:val="24"/>
        </w:rPr>
        <w:t>[Arquitectura lógica del prototipo]</w:t>
      </w:r>
    </w:p>
    <w:p>
      <w:pPr>
        <w:jc w:val="center"/>
      </w:pPr>
      <w:r>
        <w:drawing>
          <wp:inline xmlns:a="http://schemas.openxmlformats.org/drawingml/2006/main" xmlns:pic="http://schemas.openxmlformats.org/drawingml/2006/picture">
            <wp:extent cx="5040000" cy="805177"/>
            <wp:docPr id="10" name="Picture 10"/>
            <wp:cNvGraphicFramePr>
              <a:graphicFrameLocks noChangeAspect="1"/>
            </wp:cNvGraphicFramePr>
            <a:graphic>
              <a:graphicData uri="http://schemas.openxmlformats.org/drawingml/2006/picture">
                <pic:pic>
                  <pic:nvPicPr>
                    <pic:cNvPr id="0" name="06_arquitectura_prototipo.png"/>
                    <pic:cNvPicPr/>
                  </pic:nvPicPr>
                  <pic:blipFill>
                    <a:blip r:embed="rId18"/>
                    <a:stretch>
                      <a:fillRect/>
                    </a:stretch>
                  </pic:blipFill>
                  <pic:spPr>
                    <a:xfrm>
                      <a:off x="0" y="0"/>
                      <a:ext cx="5040000" cy="805177"/>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4"/>
          <w:pgSz w:w="12240" w:h="15840"/>
          <w:pgMar w:top="1701" w:right="1701" w:bottom="1701" w:left="2268" w:header="720" w:footer="720" w:gutter="0"/>
          <w:cols w:space="720"/>
          <w:docGrid w:linePitch="360"/>
          <w:pgNumType w:fmt="decimal"/>
        </w:sectPr>
      </w:pPr>
    </w:p>
    <w:p>
      <w:bookmarkStart w:id="bm_anexoF" w:name="bm_anexoF"/>
      <w:pPr>
        <w:spacing w:before="0" w:after="480"/>
        <w:jc w:val="center"/>
      </w:pPr>
      <w:bookmarkEnd w:id="bm_anexoF"/>
      <w:r>
        <w:rPr>
          <w:rFonts w:ascii="Times New Roman" w:hAnsi="Times New Roman"/>
          <w:b/>
          <w:sz w:val="24"/>
        </w:rPr>
        <w:t>ANEXO F</w:t>
      </w:r>
    </w:p>
    <w:p>
      <w:pPr>
        <w:spacing w:before="240" w:after="480"/>
        <w:jc w:val="center"/>
      </w:pPr>
      <w:r>
        <w:rPr>
          <w:rFonts w:ascii="Times New Roman" w:hAnsi="Times New Roman"/>
          <w:b/>
          <w:sz w:val="24"/>
        </w:rPr>
        <w:t>[Secuencia de registro y despacho de un expediente]</w:t>
      </w:r>
    </w:p>
    <w:p>
      <w:pPr>
        <w:jc w:val="center"/>
      </w:pPr>
      <w:r>
        <w:drawing>
          <wp:inline xmlns:a="http://schemas.openxmlformats.org/drawingml/2006/main" xmlns:pic="http://schemas.openxmlformats.org/drawingml/2006/picture">
            <wp:extent cx="5040000" cy="3856847"/>
            <wp:docPr id="11" name="Picture 11"/>
            <wp:cNvGraphicFramePr>
              <a:graphicFrameLocks noChangeAspect="1"/>
            </wp:cNvGraphicFramePr>
            <a:graphic>
              <a:graphicData uri="http://schemas.openxmlformats.org/drawingml/2006/picture">
                <pic:pic>
                  <pic:nvPicPr>
                    <pic:cNvPr id="0" name="07_secuencia_registro_despacho.png"/>
                    <pic:cNvPicPr/>
                  </pic:nvPicPr>
                  <pic:blipFill>
                    <a:blip r:embed="rId19"/>
                    <a:stretch>
                      <a:fillRect/>
                    </a:stretch>
                  </pic:blipFill>
                  <pic:spPr>
                    <a:xfrm>
                      <a:off x="0" y="0"/>
                      <a:ext cx="5040000" cy="3856847"/>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5"/>
          <w:pgSz w:w="12240" w:h="15840"/>
          <w:pgMar w:top="1701" w:right="1701" w:bottom="1701" w:left="2268" w:header="720" w:footer="720" w:gutter="0"/>
          <w:cols w:space="720"/>
          <w:docGrid w:linePitch="360"/>
          <w:pgNumType w:fmt="decimal"/>
        </w:sectPr>
      </w:pPr>
    </w:p>
    <w:p>
      <w:bookmarkStart w:id="bm_anexoG" w:name="bm_anexoG"/>
      <w:pPr>
        <w:spacing w:before="0" w:after="480"/>
        <w:jc w:val="center"/>
      </w:pPr>
      <w:bookmarkEnd w:id="bm_anexoG"/>
      <w:r>
        <w:rPr>
          <w:rFonts w:ascii="Times New Roman" w:hAnsi="Times New Roman"/>
          <w:b/>
          <w:sz w:val="24"/>
        </w:rPr>
        <w:t>ANEXO G</w:t>
      </w:r>
    </w:p>
    <w:p>
      <w:pPr>
        <w:spacing w:before="240" w:after="480"/>
        <w:jc w:val="center"/>
      </w:pPr>
      <w:r>
        <w:rPr>
          <w:rFonts w:ascii="Times New Roman" w:hAnsi="Times New Roman"/>
          <w:b/>
          <w:sz w:val="24"/>
        </w:rPr>
        <w:t>[Estados del expediente]</w:t>
      </w:r>
    </w:p>
    <w:p>
      <w:pPr>
        <w:jc w:val="center"/>
      </w:pPr>
      <w:r>
        <w:drawing>
          <wp:inline xmlns:a="http://schemas.openxmlformats.org/drawingml/2006/main" xmlns:pic="http://schemas.openxmlformats.org/drawingml/2006/picture">
            <wp:extent cx="5040000" cy="2401030"/>
            <wp:docPr id="12" name="Picture 12"/>
            <wp:cNvGraphicFramePr>
              <a:graphicFrameLocks noChangeAspect="1"/>
            </wp:cNvGraphicFramePr>
            <a:graphic>
              <a:graphicData uri="http://schemas.openxmlformats.org/drawingml/2006/picture">
                <pic:pic>
                  <pic:nvPicPr>
                    <pic:cNvPr id="0" name="08_estados_expediente.png"/>
                    <pic:cNvPicPr/>
                  </pic:nvPicPr>
                  <pic:blipFill>
                    <a:blip r:embed="rId20"/>
                    <a:stretch>
                      <a:fillRect/>
                    </a:stretch>
                  </pic:blipFill>
                  <pic:spPr>
                    <a:xfrm>
                      <a:off x="0" y="0"/>
                      <a:ext cx="5040000" cy="240103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6"/>
          <w:pgSz w:w="12240" w:h="15840"/>
          <w:pgMar w:top="1701" w:right="1701" w:bottom="1701" w:left="2268" w:header="720" w:footer="720" w:gutter="0"/>
          <w:cols w:space="720"/>
          <w:docGrid w:linePitch="360"/>
          <w:pgNumType w:fmt="decimal"/>
        </w:sectPr>
      </w:pPr>
    </w:p>
    <w:p>
      <w:bookmarkStart w:id="bm_anexoH" w:name="bm_anexoH"/>
      <w:pPr>
        <w:spacing w:before="0" w:after="480"/>
        <w:jc w:val="center"/>
      </w:pPr>
      <w:bookmarkEnd w:id="bm_anexoH"/>
      <w:r>
        <w:rPr>
          <w:rFonts w:ascii="Times New Roman" w:hAnsi="Times New Roman"/>
          <w:b/>
          <w:sz w:val="24"/>
        </w:rPr>
        <w:t>ANEXO H</w:t>
      </w:r>
    </w:p>
    <w:p>
      <w:pPr>
        <w:spacing w:before="240" w:after="480"/>
        <w:jc w:val="center"/>
      </w:pPr>
      <w:r>
        <w:rPr>
          <w:rFonts w:ascii="Times New Roman" w:hAnsi="Times New Roman"/>
          <w:b/>
          <w:sz w:val="24"/>
        </w:rPr>
        <w:t>[Mapa de módulos de la interfaz]</w:t>
      </w:r>
    </w:p>
    <w:p>
      <w:pPr>
        <w:jc w:val="center"/>
      </w:pPr>
      <w:r>
        <w:drawing>
          <wp:inline xmlns:a="http://schemas.openxmlformats.org/drawingml/2006/main" xmlns:pic="http://schemas.openxmlformats.org/drawingml/2006/picture">
            <wp:extent cx="2027283" cy="5400000"/>
            <wp:docPr id="13" name="Picture 13"/>
            <wp:cNvGraphicFramePr>
              <a:graphicFrameLocks noChangeAspect="1"/>
            </wp:cNvGraphicFramePr>
            <a:graphic>
              <a:graphicData uri="http://schemas.openxmlformats.org/drawingml/2006/picture">
                <pic:pic>
                  <pic:nvPicPr>
                    <pic:cNvPr id="0" name="11_mapa_modulos_interfaz.png"/>
                    <pic:cNvPicPr/>
                  </pic:nvPicPr>
                  <pic:blipFill>
                    <a:blip r:embed="rId21"/>
                    <a:stretch>
                      <a:fillRect/>
                    </a:stretch>
                  </pic:blipFill>
                  <pic:spPr>
                    <a:xfrm>
                      <a:off x="0" y="0"/>
                      <a:ext cx="2027283" cy="54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p>
      <w:pPr>
        <w:sectPr>
          <w:footerReference w:type="default" r:id="rId77"/>
          <w:pgSz w:w="12240" w:h="15840"/>
          <w:pgMar w:top="1701" w:right="1701" w:bottom="1701" w:left="2268" w:header="720" w:footer="720" w:gutter="0"/>
          <w:cols w:space="720"/>
          <w:docGrid w:linePitch="360"/>
          <w:pgNumType w:fmt="decimal"/>
        </w:sectPr>
      </w:pPr>
    </w:p>
    <w:p>
      <w:bookmarkStart w:id="bm_anexoI" w:name="bm_anexoI"/>
      <w:pPr>
        <w:spacing w:before="0" w:after="480"/>
        <w:jc w:val="center"/>
      </w:pPr>
      <w:bookmarkEnd w:id="bm_anexoI"/>
      <w:r>
        <w:rPr>
          <w:rFonts w:ascii="Times New Roman" w:hAnsi="Times New Roman"/>
          <w:b/>
          <w:sz w:val="24"/>
        </w:rPr>
        <w:t>ANEXO I</w:t>
      </w:r>
    </w:p>
    <w:p>
      <w:pPr>
        <w:spacing w:before="240" w:after="480"/>
        <w:jc w:val="center"/>
      </w:pPr>
      <w:r>
        <w:rPr>
          <w:rFonts w:ascii="Times New Roman" w:hAnsi="Times New Roman"/>
          <w:b/>
          <w:sz w:val="24"/>
        </w:rPr>
        <w:t>[Proceso de respaldo periódico de SQLite]</w:t>
      </w:r>
    </w:p>
    <w:p>
      <w:pPr>
        <w:jc w:val="center"/>
      </w:pPr>
      <w:r>
        <w:drawing>
          <wp:inline xmlns:a="http://schemas.openxmlformats.org/drawingml/2006/main" xmlns:pic="http://schemas.openxmlformats.org/drawingml/2006/picture">
            <wp:extent cx="2883349" cy="5400000"/>
            <wp:docPr id="14" name="Picture 14"/>
            <wp:cNvGraphicFramePr>
              <a:graphicFrameLocks noChangeAspect="1"/>
            </wp:cNvGraphicFramePr>
            <a:graphic>
              <a:graphicData uri="http://schemas.openxmlformats.org/drawingml/2006/picture">
                <pic:pic>
                  <pic:nvPicPr>
                    <pic:cNvPr id="0" name="12_proceso_respaldo_sqlite.png"/>
                    <pic:cNvPicPr/>
                  </pic:nvPicPr>
                  <pic:blipFill>
                    <a:blip r:embed="rId22"/>
                    <a:stretch>
                      <a:fillRect/>
                    </a:stretch>
                  </pic:blipFill>
                  <pic:spPr>
                    <a:xfrm>
                      <a:off x="0" y="0"/>
                      <a:ext cx="2883349" cy="5400000"/>
                    </a:xfrm>
                    <a:prstGeom prst="rect"/>
                  </pic:spPr>
                </pic:pic>
              </a:graphicData>
            </a:graphic>
          </wp:inline>
        </w:drawing>
      </w:r>
    </w:p>
    <w:p>
      <w:pPr>
        <w:spacing w:line="360" w:lineRule="auto" w:after="0" w:before="0"/>
        <w:ind w:firstLine="709"/>
        <w:jc w:val="both"/>
      </w:pPr>
      <w:r>
        <w:rPr>
          <w:rFonts w:ascii="Times New Roman" w:hAnsi="Times New Roman"/>
          <w:i w:val="0"/>
          <w:sz w:val="24"/>
        </w:rPr>
        <w:t>Fuente: Elaboración propia (2026).</w:t>
      </w:r>
    </w:p>
    <w:sectPr w:rsidR="00FC693F" w:rsidRPr="0006063C" w:rsidSect="00034616">
      <w:footerReference w:type="default" r:id="rId78"/>
      <w:pgSz w:w="12240" w:h="15840"/>
      <w:pgMar w:top="1701" w:right="1701" w:bottom="1701" w:left="2268"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 Id="rId24" Type="http://schemas.openxmlformats.org/officeDocument/2006/relationships/footer" Target="footer2.xml"/><Relationship Id="rId25" Type="http://schemas.openxmlformats.org/officeDocument/2006/relationships/footer" Target="footer3.xml"/><Relationship Id="rId26" Type="http://schemas.openxmlformats.org/officeDocument/2006/relationships/footer" Target="footer4.xml"/><Relationship Id="rId27" Type="http://schemas.openxmlformats.org/officeDocument/2006/relationships/footer" Target="footer5.xml"/><Relationship Id="rId28" Type="http://schemas.openxmlformats.org/officeDocument/2006/relationships/footer" Target="footer6.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footer" Target="footer22.xml"/><Relationship Id="rId45" Type="http://schemas.openxmlformats.org/officeDocument/2006/relationships/footer" Target="footer23.xml"/><Relationship Id="rId46" Type="http://schemas.openxmlformats.org/officeDocument/2006/relationships/footer" Target="footer24.xml"/><Relationship Id="rId47" Type="http://schemas.openxmlformats.org/officeDocument/2006/relationships/footer" Target="footer25.xml"/><Relationship Id="rId48" Type="http://schemas.openxmlformats.org/officeDocument/2006/relationships/footer" Target="footer26.xml"/><Relationship Id="rId49" Type="http://schemas.openxmlformats.org/officeDocument/2006/relationships/footer" Target="footer27.xml"/><Relationship Id="rId50" Type="http://schemas.openxmlformats.org/officeDocument/2006/relationships/footer" Target="footer28.xml"/><Relationship Id="rId51" Type="http://schemas.openxmlformats.org/officeDocument/2006/relationships/footer" Target="footer29.xml"/><Relationship Id="rId52" Type="http://schemas.openxmlformats.org/officeDocument/2006/relationships/footer" Target="footer30.xml"/><Relationship Id="rId53" Type="http://schemas.openxmlformats.org/officeDocument/2006/relationships/footer" Target="footer31.xml"/><Relationship Id="rId54" Type="http://schemas.openxmlformats.org/officeDocument/2006/relationships/footer" Target="footer32.xml"/><Relationship Id="rId55" Type="http://schemas.openxmlformats.org/officeDocument/2006/relationships/footer" Target="footer33.xml"/><Relationship Id="rId56" Type="http://schemas.openxmlformats.org/officeDocument/2006/relationships/footer" Target="footer34.xml"/><Relationship Id="rId57" Type="http://schemas.openxmlformats.org/officeDocument/2006/relationships/footer" Target="footer35.xml"/><Relationship Id="rId58" Type="http://schemas.openxmlformats.org/officeDocument/2006/relationships/footer" Target="footer36.xml"/><Relationship Id="rId59" Type="http://schemas.openxmlformats.org/officeDocument/2006/relationships/footer" Target="footer37.xml"/><Relationship Id="rId60" Type="http://schemas.openxmlformats.org/officeDocument/2006/relationships/footer" Target="footer38.xml"/><Relationship Id="rId61" Type="http://schemas.openxmlformats.org/officeDocument/2006/relationships/footer" Target="footer39.xml"/><Relationship Id="rId62" Type="http://schemas.openxmlformats.org/officeDocument/2006/relationships/footer" Target="footer40.xml"/><Relationship Id="rId63" Type="http://schemas.openxmlformats.org/officeDocument/2006/relationships/footer" Target="footer41.xml"/><Relationship Id="rId64" Type="http://schemas.openxmlformats.org/officeDocument/2006/relationships/footer" Target="footer42.xml"/><Relationship Id="rId65" Type="http://schemas.openxmlformats.org/officeDocument/2006/relationships/footer" Target="footer43.xml"/><Relationship Id="rId66" Type="http://schemas.openxmlformats.org/officeDocument/2006/relationships/footer" Target="footer44.xml"/><Relationship Id="rId67" Type="http://schemas.openxmlformats.org/officeDocument/2006/relationships/footer" Target="footer45.xml"/><Relationship Id="rId68" Type="http://schemas.openxmlformats.org/officeDocument/2006/relationships/footer" Target="footer46.xml"/><Relationship Id="rId69" Type="http://schemas.openxmlformats.org/officeDocument/2006/relationships/footer" Target="footer47.xml"/><Relationship Id="rId70" Type="http://schemas.openxmlformats.org/officeDocument/2006/relationships/footer" Target="footer48.xml"/><Relationship Id="rId71" Type="http://schemas.openxmlformats.org/officeDocument/2006/relationships/footer" Target="footer49.xml"/><Relationship Id="rId72" Type="http://schemas.openxmlformats.org/officeDocument/2006/relationships/footer" Target="footer50.xml"/><Relationship Id="rId73" Type="http://schemas.openxmlformats.org/officeDocument/2006/relationships/footer" Target="footer51.xml"/><Relationship Id="rId74" Type="http://schemas.openxmlformats.org/officeDocument/2006/relationships/footer" Target="footer52.xml"/><Relationship Id="rId75" Type="http://schemas.openxmlformats.org/officeDocument/2006/relationships/footer" Target="footer53.xml"/><Relationship Id="rId76" Type="http://schemas.openxmlformats.org/officeDocument/2006/relationships/footer" Target="footer54.xml"/><Relationship Id="rId77" Type="http://schemas.openxmlformats.org/officeDocument/2006/relationships/footer" Target="footer55.xml"/><Relationship Id="rId78" Type="http://schemas.openxmlformats.org/officeDocument/2006/relationships/footer" Target="footer5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