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PROPUESTA DE SIMPLIFICACIÓN ADMINISTRATIVA DE LA PROCURA EN LUBRICANTES Y EQUIPOS VARYNA, C.A.</w:t>
      </w:r>
    </w:p>
    <w:p>
      <w:pPr>
        <w:spacing w:line="276" w:lineRule="auto" w:before="3260" w:after="0"/>
        <w:jc w:val="right"/>
      </w:pPr>
      <w:r>
        <w:rPr>
          <w:rFonts w:ascii="Times New Roman" w:hAnsi="Times New Roman"/>
          <w:b/>
          <w:sz w:val="24"/>
        </w:rPr>
        <w:t>Autor:</w:t>
        <w:br/>
      </w:r>
      <w:r>
        <w:rPr>
          <w:rFonts w:ascii="Times New Roman" w:hAnsi="Times New Roman"/>
          <w:b/>
          <w:sz w:val="24"/>
        </w:rPr>
        <w:t>Guzmán, Keidy</w:t>
        <w:br/>
      </w:r>
      <w:r>
        <w:rPr>
          <w:rFonts w:ascii="Times New Roman" w:hAnsi="Times New Roman"/>
          <w:b/>
          <w:sz w:val="24"/>
        </w:rPr>
        <w:t>C.I.: 28.706.352</w:t>
      </w:r>
    </w:p>
    <w:p>
      <w:pPr>
        <w:spacing w:line="276" w:lineRule="auto" w:before="1630" w:after="0"/>
        <w:jc w:val="center"/>
      </w:pPr>
      <w:r>
        <w:rPr>
          <w:rFonts w:ascii="Times New Roman" w:hAnsi="Times New Roman"/>
          <w:sz w:val="24"/>
        </w:rPr>
        <w:t>El Tigre, agosto de 2026</w:t>
      </w:r>
    </w:p>
    <w:p>
      <w:pPr>
        <w:sectPr>
          <w:footerReference w:type="default" r:id="rId20"/>
          <w:pgSz w:w="12240" w:h="15840"/>
          <w:pgMar w:top="1701" w:right="1701" w:bottom="1701" w:left="2268" w:header="720" w:footer="720" w:gutter="0"/>
          <w:cols w:space="720"/>
          <w:docGrid w:linePitch="360"/>
          <w:pgNumType w:fmt="lowerRoman" w:start="1"/>
        </w:sectPr>
      </w:pPr>
    </w:p>
    <w:p>
      <w:bookmarkStart w:id="bm_contraportada" w:name="bm_contraportada"/>
      <w:pPr>
        <w:spacing w:line="240"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bookmarkEnd w:id="bm_contraportada"/>
    </w:p>
    <w:p>
      <w:pPr>
        <w:spacing w:line="276" w:lineRule="auto" w:before="1280" w:after="0"/>
        <w:jc w:val="center"/>
      </w:pPr>
      <w:r>
        <w:rPr>
          <w:rFonts w:ascii="Times New Roman" w:hAnsi="Times New Roman"/>
          <w:b/>
          <w:sz w:val="24"/>
        </w:rPr>
        <w:t>PROPUESTA DE SIMPLIFICACIÓN ADMINISTRATIVA DE LA PROCURA EN LUBRICANTES Y EQUIPOS VARYNA, C.A.</w:t>
      </w:r>
    </w:p>
    <w:p>
      <w:pPr>
        <w:spacing w:line="276" w:lineRule="auto" w:before="440" w:after="0"/>
        <w:jc w:val="center"/>
      </w:pPr>
      <w:r>
        <w:rPr>
          <w:rFonts w:ascii="Times New Roman" w:hAnsi="Times New Roman"/>
          <w:b/>
          <w:sz w:val="24"/>
        </w:rPr>
        <w:t>Informe de pasantías para obtener el título de Técnico Superior Universitario en la especialidad de: Administración</w:t>
      </w:r>
    </w:p>
    <w:p>
      <w:pPr>
        <w:spacing w:before="2100"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40" w:lineRule="auto"/>
              <w:jc w:val="left"/>
            </w:pPr>
            <w:r>
              <w:rPr>
                <w:rFonts w:ascii="Times New Roman" w:hAnsi="Times New Roman"/>
                <w:b/>
                <w:sz w:val="24"/>
              </w:rPr>
              <w:t>Tutor Industrial:</w:t>
              <w:br/>
            </w:r>
            <w:r>
              <w:rPr>
                <w:rFonts w:ascii="Times New Roman" w:hAnsi="Times New Roman"/>
                <w:b/>
                <w:sz w:val="24"/>
              </w:rPr>
              <w:t>Rondón, Martina</w:t>
              <w:br/>
            </w:r>
            <w:r>
              <w:rPr>
                <w:rFonts w:ascii="Times New Roman" w:hAnsi="Times New Roman"/>
                <w:b/>
                <w:sz w:val="24"/>
              </w:rPr>
              <w:t>C.I.: 12.208.768</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Dra. Carmen J. Álvarez</w:t>
              <w:br/>
            </w:r>
            <w:r>
              <w:rPr>
                <w:rFonts w:ascii="Times New Roman" w:hAnsi="Times New Roman"/>
                <w:b/>
                <w:sz w:val="24"/>
              </w:rPr>
              <w:t>C.I.: 14.452.956</w:t>
            </w:r>
          </w:p>
        </w:tc>
        <w:tc>
          <w:tcPr>
            <w:tcW w:type="dxa" w:w="4139"/>
            <w:vAlign w:val="top"/>
          </w:tcPr>
          <w:p>
            <w:pPr>
              <w:spacing w:line="240" w:lineRule="auto"/>
              <w:jc w:val="right"/>
            </w:pPr>
            <w:r>
              <w:rPr>
                <w:rFonts w:ascii="Times New Roman" w:hAnsi="Times New Roman"/>
                <w:b/>
                <w:sz w:val="24"/>
              </w:rPr>
              <w:t>Autor:</w:t>
              <w:br/>
            </w:r>
            <w:r>
              <w:rPr>
                <w:rFonts w:ascii="Times New Roman" w:hAnsi="Times New Roman"/>
                <w:b/>
                <w:sz w:val="24"/>
              </w:rPr>
              <w:t>Guzmán, Keidy</w:t>
              <w:br/>
            </w:r>
            <w:r>
              <w:rPr>
                <w:rFonts w:ascii="Times New Roman" w:hAnsi="Times New Roman"/>
                <w:b/>
                <w:sz w:val="24"/>
              </w:rPr>
              <w:t>C.I.: 28.706.352</w:t>
            </w:r>
          </w:p>
        </w:tc>
      </w:tr>
    </w:tbl>
    <w:p>
      <w:pPr>
        <w:spacing w:line="276" w:lineRule="auto" w:before="800" w:after="0"/>
        <w:jc w:val="center"/>
      </w:pPr>
      <w:r>
        <w:rPr>
          <w:rFonts w:ascii="Times New Roman" w:hAnsi="Times New Roman"/>
          <w:sz w:val="24"/>
        </w:rPr>
        <w:t>El Tigre, agosto de 2026</w:t>
      </w:r>
    </w:p>
    <w:p>
      <w:pPr>
        <w:sectPr>
          <w:footerReference w:type="default" r:id="rId21"/>
          <w:pgSz w:w="12240" w:h="15840"/>
          <w:pgMar w:top="1701" w:right="1701" w:bottom="1701" w:left="2268" w:header="720" w:footer="720" w:gutter="0"/>
          <w:cols w:space="720"/>
          <w:docGrid w:linePitch="360"/>
          <w:pgNumType w:fmt="lowerRoman"/>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bookmarkStart w:id="bm_aprob_ind" w:name="bm_aprob_ind"/>
      <w:pPr>
        <w:spacing w:before="480" w:after="480"/>
        <w:jc w:val="center"/>
      </w:pPr>
      <w:r>
        <w:rPr>
          <w:rFonts w:ascii="Times New Roman" w:hAnsi="Times New Roman"/>
          <w:b/>
          <w:sz w:val="24"/>
        </w:rPr>
        <w:t>APROBACIÓN DEL TUTOR INDUSTRIAL</w:t>
      </w:r>
      <w:bookmarkEnd w:id="bm_aprob_ind"/>
    </w:p>
    <w:p>
      <w:pPr>
        <w:spacing w:line="360" w:lineRule="auto"/>
        <w:ind w:firstLine="0"/>
        <w:jc w:val="both"/>
      </w:pPr>
      <w:r>
        <w:rPr>
          <w:rFonts w:ascii="Times New Roman" w:hAnsi="Times New Roman"/>
          <w:sz w:val="24"/>
        </w:rPr>
        <w:t>En mi carácter de tutor industrial del informe de pasantías presentado por: Guzmán, Keidy,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Rondón, Martina</w:t>
      </w:r>
    </w:p>
    <w:p>
      <w:pPr>
        <w:spacing w:before="0"/>
        <w:jc w:val="center"/>
      </w:pPr>
      <w:r>
        <w:rPr>
          <w:rFonts w:ascii="Times New Roman" w:hAnsi="Times New Roman"/>
          <w:sz w:val="24"/>
        </w:rPr>
        <w:t>C.I.: 12.208.768</w:t>
      </w:r>
    </w:p>
    <w:p>
      <w:pPr>
        <w:sectPr>
          <w:footerReference w:type="default" r:id="rId22"/>
          <w:pgSz w:w="12240" w:h="15840"/>
          <w:pgMar w:top="1701" w:right="1701" w:bottom="1701" w:left="2268" w:header="720" w:footer="720" w:gutter="0"/>
          <w:cols w:space="720"/>
          <w:docGrid w:linePitch="360"/>
          <w:pgNumType w:fmt="lowerRoman"/>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bookmarkStart w:id="bm_aprob_acad" w:name="bm_aprob_acad"/>
      <w:pPr>
        <w:spacing w:before="480" w:after="480"/>
        <w:jc w:val="center"/>
      </w:pPr>
      <w:r>
        <w:rPr>
          <w:rFonts w:ascii="Times New Roman" w:hAnsi="Times New Roman"/>
          <w:b/>
          <w:sz w:val="24"/>
        </w:rPr>
        <w:t>APROBACIÓN DEL TUTOR ACADÉMICO</w:t>
      </w:r>
      <w:bookmarkEnd w:id="bm_aprob_acad"/>
    </w:p>
    <w:p>
      <w:pPr>
        <w:spacing w:line="360" w:lineRule="auto"/>
        <w:ind w:firstLine="0"/>
        <w:jc w:val="both"/>
      </w:pPr>
      <w:r>
        <w:rPr>
          <w:rFonts w:ascii="Times New Roman" w:hAnsi="Times New Roman"/>
          <w:sz w:val="24"/>
        </w:rPr>
        <w:t>En mi carácter de tutor académico del informe de pasantías presentado por: Guzmán, Keidy,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Dra. Carmen J. Álvarez</w:t>
      </w:r>
    </w:p>
    <w:p>
      <w:pPr>
        <w:spacing w:before="0"/>
        <w:jc w:val="center"/>
      </w:pPr>
      <w:r>
        <w:rPr>
          <w:rFonts w:ascii="Times New Roman" w:hAnsi="Times New Roman"/>
          <w:sz w:val="24"/>
        </w:rPr>
        <w:t>C.I.: 14.452.956</w:t>
      </w:r>
    </w:p>
    <w:p>
      <w:pPr>
        <w:sectPr>
          <w:footerReference w:type="default" r:id="rId23"/>
          <w:pgSz w:w="12240" w:h="15840"/>
          <w:pgMar w:top="1701" w:right="1701" w:bottom="1701" w:left="2268" w:header="720" w:footer="720" w:gutter="0"/>
          <w:cols w:space="720"/>
          <w:docGrid w:linePitch="360"/>
          <w:pgNumType w:fmt="lowerRoman"/>
        </w:sectPr>
      </w:pPr>
    </w:p>
    <w:p>
      <w:bookmarkStart w:id="bm_agradecimientos" w:name="bm_agradecimientos"/>
      <w:pPr>
        <w:spacing w:before="1140" w:after="480"/>
        <w:jc w:val="center"/>
      </w:pPr>
      <w:r>
        <w:rPr>
          <w:rFonts w:ascii="Times New Roman" w:hAnsi="Times New Roman"/>
          <w:b/>
          <w:sz w:val="24"/>
        </w:rPr>
        <w:t>AGRADECIMIENTOS</w:t>
      </w:r>
      <w:bookmarkEnd w:id="bm_agradecimientos"/>
    </w:p>
    <w:p>
      <w:pPr>
        <w:sectPr>
          <w:footerReference w:type="default" r:id="rId24"/>
          <w:pgSz w:w="12240" w:h="15840"/>
          <w:pgMar w:top="1701" w:right="1701" w:bottom="1701" w:left="2268" w:header="720" w:footer="720" w:gutter="0"/>
          <w:cols w:space="720"/>
          <w:docGrid w:linePitch="360"/>
          <w:pgNumType w:fmt="lowerRoman"/>
        </w:sectPr>
      </w:pPr>
    </w:p>
    <w:p>
      <w:pPr>
        <w:spacing w:line="360" w:lineRule="auto" w:after="0" w:before="0"/>
        <w:ind w:firstLine="709"/>
        <w:jc w:val="both"/>
      </w:pPr>
      <w:r>
        <w:rPr>
          <w:rFonts w:ascii="Times New Roman" w:hAnsi="Times New Roman"/>
          <w:i w:val="0"/>
          <w:sz w:val="24"/>
        </w:rPr>
        <w:t>Agradezco al Instituto Universitario de Tecnología "Elías Calixto Pompa" (IUTECP) por los conocimientos y orientaciones brindados durante mi formación; a Lubricantes y Equipos Varyna, C.A., por permitirme realizar las pasantías profesionales en su Departamento Administrativo y conocer de manera directa sus procesos de procura; a mi tutora académica, Dra. Carmen J. Álvarez, y a mi tutora industrial, Martina Rondón, por sus observaciones, acompañamiento y disposición durante el desarrollo del informe; y a todas las personas que colaboraron conmigo durante este período, por su apoyo y por los aprendizajes compartidos.</w:t>
      </w:r>
    </w:p>
    <w:p>
      <w:pPr>
        <w:sectPr>
          <w:footerReference w:type="default" r:id="rId25"/>
          <w:type w:val="continuous"/>
          <w:pgSz w:w="12240" w:h="15840"/>
          <w:pgMar w:top="1701" w:right="1701" w:bottom="1701" w:left="2268" w:header="720" w:footer="720" w:gutter="0"/>
          <w:cols w:space="720"/>
          <w:docGrid w:linePitch="360"/>
          <w:pgNumType w:fmt="lowerRoman"/>
        </w:sectPr>
      </w:pPr>
    </w:p>
    <w:p>
      <w:bookmarkStart w:id="bm_dedicatoria" w:name="bm_dedicatoria"/>
      <w:pPr>
        <w:spacing w:before="1140" w:after="480"/>
        <w:jc w:val="center"/>
      </w:pPr>
      <w:r>
        <w:rPr>
          <w:rFonts w:ascii="Times New Roman" w:hAnsi="Times New Roman"/>
          <w:b/>
          <w:sz w:val="24"/>
        </w:rPr>
        <w:t>DEDICATORIA</w:t>
      </w:r>
      <w:bookmarkEnd w:id="bm_dedicatoria"/>
    </w:p>
    <w:p>
      <w:pPr>
        <w:sectPr>
          <w:footerReference w:type="default" r:id="rId26"/>
          <w:pgSz w:w="12240" w:h="15840"/>
          <w:pgMar w:top="1701" w:right="1701" w:bottom="1701" w:left="2268" w:header="720" w:footer="720" w:gutter="0"/>
          <w:cols w:space="720"/>
          <w:docGrid w:linePitch="360"/>
          <w:pgNumType w:fmt="lowerRoman"/>
        </w:sectPr>
      </w:pPr>
    </w:p>
    <w:p>
      <w:pPr>
        <w:spacing w:line="360" w:lineRule="auto" w:after="0" w:before="0"/>
        <w:ind w:firstLine="709"/>
        <w:jc w:val="both"/>
      </w:pPr>
      <w:r>
        <w:rPr>
          <w:rFonts w:ascii="Times New Roman" w:hAnsi="Times New Roman"/>
          <w:i w:val="0"/>
          <w:sz w:val="24"/>
        </w:rPr>
        <w:t>A mi familia, por acompañarme con paciencia, apoyo y motivación durante mi formación académica y en cada etapa de estas pasantías. Dedico especialmente este logro a quienes han confiado en mí y me han impulsado a continuar creciendo personal y profesionalmente.</w:t>
      </w:r>
    </w:p>
    <w:p>
      <w:pPr>
        <w:sectPr>
          <w:footerReference w:type="default" r:id="rId27"/>
          <w:type w:val="continuous"/>
          <w:pgSz w:w="12240" w:h="15840"/>
          <w:pgMar w:top="1701" w:right="1701" w:bottom="1701" w:left="2268" w:header="720" w:footer="720" w:gutter="0"/>
          <w:cols w:space="720"/>
          <w:docGrid w:linePitch="360"/>
          <w:pgNumType w:fmt="lowerRoman"/>
        </w:sectPr>
      </w:pPr>
    </w:p>
    <w:p>
      <w:bookmarkStart w:id="bm_indice" w:name="bm_indice"/>
      <w:pPr>
        <w:spacing w:before="1140" w:after="480"/>
        <w:jc w:val="center"/>
      </w:pPr>
      <w:r>
        <w:rPr>
          <w:rFonts w:ascii="Times New Roman" w:hAnsi="Times New Roman"/>
          <w:b/>
          <w:sz w:val="24"/>
        </w:rPr>
        <w:t>ÍNDICE DE CONTENIDO</w:t>
      </w:r>
      <w:bookmarkEnd w:id="bm_indice"/>
    </w:p>
    <w:p>
      <w:pPr>
        <w:sectPr>
          <w:footerReference w:type="default" r:id="rId28"/>
          <w:pgSz w:w="12240" w:h="15840"/>
          <w:pgMar w:top="1701" w:right="1701" w:bottom="1701" w:left="2268" w:header="720" w:footer="720" w:gutter="0"/>
          <w:cols w:space="720"/>
          <w:docGrid w:linePitch="360"/>
          <w:pgNumType w:fmt="lowerRoman"/>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CONTRAPORTADA</w:t>
        <w:tab/>
      </w:r>
      <w:r>
        <w:rPr>
          <w:rFonts w:ascii="Times New Roman" w:hAnsi="Times New Roman"/>
          <w:b w:val="0"/>
          <w:sz w:val="24"/>
        </w:rPr>
        <w:fldChar w:fldCharType="begin"/>
        <w:instrText xml:space="preserve"> PAGEREF bm_contraportada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del departamento donde realizó la pasantía</w:t>
        <w:tab/>
      </w:r>
      <w:r>
        <w:rPr>
          <w:rFonts w:ascii="Times New Roman" w:hAnsi="Times New Roman"/>
          <w:b w:val="0"/>
          <w:sz w:val="24"/>
        </w:rPr>
        <w:fldChar w:fldCharType="begin"/>
        <w:instrText xml:space="preserve"> PAGEREF bm_cap1_departamento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V: CONCLUSIONES Y RECOMENDACIONES</w:t>
        <w:tab/>
      </w:r>
      <w:r>
        <w:rPr>
          <w:rFonts w:ascii="Times New Roman" w:hAnsi="Times New Roman"/>
          <w:b/>
          <w:sz w:val="24"/>
        </w:rPr>
        <w:fldChar w:fldCharType="begin"/>
        <w:instrText xml:space="preserve"> PAGEREF bm_cap5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Conclusiones</w:t>
        <w:tab/>
      </w:r>
      <w:r>
        <w:rPr>
          <w:rFonts w:ascii="Times New Roman" w:hAnsi="Times New Roman"/>
          <w:b w:val="0"/>
          <w:sz w:val="24"/>
        </w:rPr>
        <w:fldChar w:fldCharType="begin"/>
        <w:instrText xml:space="preserve"> PAGEREF bm_cap5_concl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Recomendaciones</w:t>
        <w:tab/>
      </w:r>
      <w:r>
        <w:rPr>
          <w:rFonts w:ascii="Times New Roman" w:hAnsi="Times New Roman"/>
          <w:b w:val="0"/>
          <w:sz w:val="24"/>
        </w:rPr>
        <w:fldChar w:fldCharType="begin"/>
        <w:instrText xml:space="preserve"> PAGEREF bm_cap5_recom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29"/>
          <w:type w:val="continuous"/>
          <w:pgSz w:w="12240" w:h="15840"/>
          <w:pgMar w:top="1701" w:right="1701" w:bottom="1701" w:left="2268" w:header="720" w:footer="720" w:gutter="0"/>
          <w:cols w:space="720"/>
          <w:docGrid w:linePitch="360"/>
          <w:pgNumType w:fmt="lowerRoman"/>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30"/>
          <w:pgSz w:w="12240" w:h="15840"/>
          <w:pgMar w:top="1701" w:right="1701" w:bottom="1701" w:left="2268" w:header="720" w:footer="720" w:gutter="0"/>
          <w:cols w:space="720"/>
          <w:docGrid w:linePitch="360"/>
          <w:pgNumType w:fmt="lowerRoman"/>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 la pasantía</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31"/>
          <w:type w:val="continuous"/>
          <w:pgSz w:w="12240" w:h="15840"/>
          <w:pgMar w:top="1701" w:right="1701" w:bottom="1701" w:left="2268" w:header="720" w:footer="720" w:gutter="0"/>
          <w:cols w:space="720"/>
          <w:docGrid w:linePitch="360"/>
          <w:pgNumType w:fmt="lowerRoman"/>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32"/>
          <w:pgSz w:w="12240" w:h="15840"/>
          <w:pgMar w:top="1701" w:right="1701" w:bottom="1701" w:left="2268" w:header="720" w:footer="720" w:gutter="0"/>
          <w:cols w:space="720"/>
          <w:docGrid w:linePitch="360"/>
          <w:pgNumType w:fmt="lowerRoman"/>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Logotipo de Lubricantes y Equipos Varyna, C.A.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Representación cartográfica y ubicación espacial de la empresa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estructural y niveles jerárquicos de la organización</w:t>
        <w:tab/>
      </w:r>
      <w:r>
        <w:rPr>
          <w:rFonts w:ascii="Times New Roman" w:hAnsi="Times New Roman"/>
          <w:b w:val="0"/>
          <w:sz w:val="24"/>
        </w:rPr>
        <w:fldChar w:fldCharType="begin"/>
        <w:instrText xml:space="preserve"> PAGEREF bm_grafico3 \h </w:instrText>
        <w:fldChar w:fldCharType="separate"/>
        <w:t>?</w:t>
        <w:fldChar w:fldCharType="end"/>
      </w:r>
    </w:p>
    <w:p>
      <w:pPr>
        <w:sectPr>
          <w:footerReference w:type="default" r:id="rId33"/>
          <w:type w:val="continuous"/>
          <w:pgSz w:w="12240" w:h="15840"/>
          <w:pgMar w:top="1701" w:right="1701" w:bottom="1701" w:left="2268" w:header="720" w:footer="720" w:gutter="0"/>
          <w:cols w:space="720"/>
          <w:docGrid w:linePitch="360"/>
          <w:pgNumType w:fmt="lowerRoman"/>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34"/>
          <w:pgSz w:w="12240" w:h="15840"/>
          <w:pgMar w:top="1701" w:right="1701" w:bottom="1701" w:left="2268" w:header="720" w:footer="720" w:gutter="0"/>
          <w:cols w:space="720"/>
          <w:docGrid w:linePitch="360"/>
          <w:pgNumType w:fmt="lowerRoman"/>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Diagrama de Ishikawa de las causas asociadas a las demoras del proceso de procura</w:t>
        <w:tab/>
      </w:r>
      <w:r>
        <w:rPr>
          <w:rFonts w:ascii="Times New Roman" w:hAnsi="Times New Roman"/>
          <w:b w:val="0"/>
          <w:sz w:val="24"/>
        </w:rPr>
        <w:fldChar w:fldCharType="begin"/>
        <w:instrText xml:space="preserve"> PAGEREF bm_anexoA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B</w:t>
        <w:tab/>
        <w:t>Flujograma AS-IS del proceso actual de procura</w:t>
        <w:tab/>
      </w:r>
      <w:r>
        <w:rPr>
          <w:rFonts w:ascii="Times New Roman" w:hAnsi="Times New Roman"/>
          <w:b w:val="0"/>
          <w:sz w:val="24"/>
        </w:rPr>
        <w:fldChar w:fldCharType="begin"/>
        <w:instrText xml:space="preserve"> PAGEREF bm_anexoB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C</w:t>
        <w:tab/>
        <w:t>Flujograma TO-BE del proceso simplificado propuesto</w:t>
        <w:tab/>
      </w:r>
      <w:r>
        <w:rPr>
          <w:rFonts w:ascii="Times New Roman" w:hAnsi="Times New Roman"/>
          <w:b w:val="0"/>
          <w:sz w:val="24"/>
        </w:rPr>
        <w:fldChar w:fldCharType="begin"/>
        <w:instrText xml:space="preserve"> PAGEREF bm_anexoC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D</w:t>
        <w:tab/>
        <w:t>Swimlane del proceso propuesto de procura</w:t>
        <w:tab/>
      </w:r>
      <w:r>
        <w:rPr>
          <w:rFonts w:ascii="Times New Roman" w:hAnsi="Times New Roman"/>
          <w:b w:val="0"/>
          <w:sz w:val="24"/>
        </w:rPr>
        <w:fldChar w:fldCharType="begin"/>
        <w:instrText xml:space="preserve"> PAGEREF bm_anexoD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E</w:t>
        <w:tab/>
        <w:t>SIPOC del proceso de procura</w:t>
        <w:tab/>
      </w:r>
      <w:r>
        <w:rPr>
          <w:rFonts w:ascii="Times New Roman" w:hAnsi="Times New Roman"/>
          <w:b w:val="0"/>
          <w:sz w:val="24"/>
        </w:rPr>
        <w:fldChar w:fldCharType="begin"/>
        <w:instrText xml:space="preserve"> PAGEREF bm_anexoE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F</w:t>
        <w:tab/>
        <w:t>Matriz RACI propuesta del proceso de procura</w:t>
        <w:tab/>
      </w:r>
      <w:r>
        <w:rPr>
          <w:rFonts w:ascii="Times New Roman" w:hAnsi="Times New Roman"/>
          <w:b w:val="0"/>
          <w:sz w:val="24"/>
        </w:rPr>
        <w:fldChar w:fldCharType="begin"/>
        <w:instrText xml:space="preserve"> PAGEREF bm_anexoF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G</w:t>
        <w:tab/>
        <w:t>Diagrama de Ishikawa definitivo de las causas asociadas a las demoras y pérdida de trazabilidad del proceso de procura</w:t>
        <w:tab/>
      </w:r>
      <w:r>
        <w:rPr>
          <w:rFonts w:ascii="Times New Roman" w:hAnsi="Times New Roman"/>
          <w:b w:val="0"/>
          <w:sz w:val="24"/>
        </w:rPr>
        <w:fldChar w:fldCharType="begin"/>
        <w:instrText xml:space="preserve"> PAGEREF bm_anexoG \h </w:instrText>
        <w:fldChar w:fldCharType="separate"/>
        <w:t>?</w:t>
        <w:fldChar w:fldCharType="end"/>
      </w:r>
    </w:p>
    <w:p>
      <w:pPr>
        <w:sectPr>
          <w:footerReference w:type="default" r:id="rId35"/>
          <w:type w:val="continuous"/>
          <w:pgSz w:w="12240" w:h="15840"/>
          <w:pgMar w:top="1701" w:right="1701" w:bottom="1701" w:left="2268" w:header="720" w:footer="720" w:gutter="0"/>
          <w:cols w:space="720"/>
          <w:docGrid w:linePitch="360"/>
          <w:pgNumType w:fmt="lowerRoman"/>
        </w:sectPr>
      </w:pPr>
    </w:p>
    <w:p>
      <w:pPr>
        <w:spacing w:line="240" w:lineRule="auto" w:after="0"/>
        <w:jc w:val="center"/>
      </w:pPr>
      <w:r>
        <w:rPr>
          <w:rFonts w:ascii="Times New Roman" w:hAnsi="Times New Roman"/>
          <w:b/>
          <w:sz w:val="24"/>
        </w:rPr>
        <w:t>REPÚBLICA BOLIVARIANA DE VENEZUELA</w:t>
      </w:r>
    </w:p>
    <w:p>
      <w:pPr>
        <w:spacing w:line="240" w:lineRule="auto" w:after="0"/>
        <w:jc w:val="center"/>
      </w:pPr>
      <w:r>
        <w:rPr>
          <w:rFonts w:ascii="Times New Roman" w:hAnsi="Times New Roman"/>
          <w:b/>
          <w:sz w:val="24"/>
        </w:rPr>
        <w:t>MINISTERIO DEL PODER POPULAR PARA LA EDUCACIÓN UNIVERSITARIA</w:t>
      </w:r>
    </w:p>
    <w:p>
      <w:pPr>
        <w:spacing w:line="240" w:lineRule="auto" w:after="0"/>
        <w:jc w:val="center"/>
      </w:pPr>
      <w:r>
        <w:rPr>
          <w:rFonts w:ascii="Times New Roman" w:hAnsi="Times New Roman"/>
          <w:b/>
          <w:sz w:val="24"/>
        </w:rPr>
        <w:t>INSTITUTO UNIVERSITARIO DE TECNOLOGÍA</w:t>
      </w:r>
    </w:p>
    <w:p>
      <w:pPr>
        <w:spacing w:line="240" w:lineRule="auto" w:after="0"/>
        <w:jc w:val="center"/>
      </w:pPr>
      <w:r>
        <w:rPr>
          <w:rFonts w:ascii="Times New Roman" w:hAnsi="Times New Roman"/>
          <w:b/>
          <w:sz w:val="24"/>
        </w:rPr>
        <w:t>"ELÍAS CALIXTO POMPA"</w:t>
      </w:r>
    </w:p>
    <w:p>
      <w:pPr>
        <w:spacing w:line="240" w:lineRule="auto" w:after="0"/>
        <w:jc w:val="center"/>
      </w:pPr>
      <w:r>
        <w:rPr>
          <w:rFonts w:ascii="Times New Roman" w:hAnsi="Times New Roman"/>
          <w:b/>
          <w:sz w:val="24"/>
        </w:rPr>
        <w:t>EL TIGRE, ESTADO ANZOÁTEGUI</w:t>
      </w:r>
    </w:p>
    <w:p>
      <w:pPr>
        <w:spacing w:line="240" w:lineRule="auto" w:after="120"/>
      </w:pPr>
    </w:p>
    <w:p>
      <w:pPr>
        <w:spacing w:line="240" w:lineRule="auto" w:after="120"/>
        <w:jc w:val="center"/>
      </w:pPr>
      <w:r>
        <w:rPr>
          <w:rFonts w:ascii="Times New Roman" w:hAnsi="Times New Roman"/>
          <w:b/>
          <w:sz w:val="24"/>
        </w:rPr>
        <w:t>PROPUESTA DE SIMPLIFICACIÓN ADMINISTRATIVA DE LA PROCURA EN LUBRICANTES Y EQUIPOS VARYNA, C.A.</w:t>
      </w:r>
    </w:p>
    <w:p>
      <w:pPr>
        <w:spacing w:line="240" w:lineRule="auto" w:after="120"/>
        <w:ind w:left="0"/>
        <w:jc w:val="right"/>
      </w:pPr>
      <w:r>
        <w:rPr>
          <w:rFonts w:ascii="Times New Roman" w:hAnsi="Times New Roman"/>
          <w:b/>
          <w:sz w:val="24"/>
        </w:rPr>
        <w:t>Autor:</w:t>
        <w:br/>
      </w:r>
      <w:r>
        <w:rPr>
          <w:rFonts w:ascii="Times New Roman" w:hAnsi="Times New Roman"/>
          <w:sz w:val="24"/>
        </w:rPr>
        <w:t>Guzmán, Keidy</w:t>
        <w:br/>
      </w:r>
      <w:r>
        <w:rPr>
          <w:rFonts w:ascii="Times New Roman" w:hAnsi="Times New Roman"/>
          <w:sz w:val="24"/>
        </w:rPr>
        <w:t>C.I.: 28.706.352</w:t>
        <w:br/>
      </w:r>
      <w:r>
        <w:rPr>
          <w:rFonts w:ascii="Times New Roman" w:hAnsi="Times New Roman"/>
          <w:sz w:val="24"/>
        </w:rPr>
        <w:t>agosto de 2026</w:t>
      </w:r>
    </w:p>
    <w:p>
      <w:bookmarkStart w:id="bm_resumen" w:name="bm_resumen"/>
      <w:pPr>
        <w:spacing w:line="240" w:lineRule="auto" w:before="120" w:after="120"/>
        <w:jc w:val="center"/>
      </w:pPr>
      <w:r>
        <w:rPr>
          <w:rFonts w:ascii="Times New Roman" w:hAnsi="Times New Roman"/>
          <w:b/>
          <w:sz w:val="24"/>
        </w:rPr>
        <w:t>RESUMEN</w:t>
      </w:r>
      <w:bookmarkEnd w:id="bm_resumen"/>
    </w:p>
    <w:p>
      <w:pPr>
        <w:sectPr>
          <w:footerReference w:type="default" r:id="rId36"/>
          <w:pgSz w:w="12240" w:h="15840"/>
          <w:pgMar w:top="1701" w:right="1701" w:bottom="1701" w:left="2268" w:header="720" w:footer="720" w:gutter="0"/>
          <w:cols w:space="720"/>
          <w:docGrid w:linePitch="360"/>
          <w:pgNumType w:fmt="lowerRoman"/>
        </w:sectPr>
      </w:pPr>
    </w:p>
    <w:p>
      <w:pPr>
        <w:spacing w:line="240" w:lineRule="auto" w:before="0" w:after="0"/>
        <w:ind w:firstLine="709"/>
        <w:jc w:val="both"/>
      </w:pPr>
      <w:r>
        <w:rPr>
          <w:rFonts w:ascii="Times New Roman" w:hAnsi="Times New Roman"/>
          <w:sz w:val="24"/>
        </w:rPr>
        <w:t>El presente informe corresponde a las pasantías profesionales realizadas durante diez (10) semanas en el Departamento Administrativo de Lubricantes y Equipos Varyna, C.A., con participación directa en actividades relacionadas con la procura de materiales e insumos. Durante la práctica se observó que las requisiciones de compra no siempre siguen un canal único y formalizado desde su recepción hasta la emisión y seguimiento de la orden de compra. También se evidenció la ausencia de formatos uniformes para algunas solicitudes, dificultades para conocer oportunamente el estado de las cotizaciones y falta de criterios visibles que faciliten el seguimiento de las aprobaciones. Estas condiciones pueden producir demoras, pérdida de trazabilidad y mayor carga administrativa para el personal encargado. El objetivo general fue proponer la simplificación administrativa del proceso de procura en el departamento, con la finalidad de reducir pasos innecesarios, agilizar los tiempos de adquisición y fortalecer el control interno. Para ello se realizaron observaciones del flujo de compras, entrevistas al personal, revisión de expedientes históricos, análisis de tiempos y un diagrama de causa-efecto para organizar los factores asociados a los retrasos. Como resultado se formuló una propuesta compuesta por un flujo simplificado con responsables definidos, formatos estandarizados de solicitud de cotización y orden de compra, una matriz de autorización por monto y criterios de seguimiento mediante indicadores de gestión. Se concluye que la formalización de estas herramientas puede facilitar el control y reducir la dispersión del proceso. Se recomienda implementar la propuesta de manera gradual, socializarla con el personal involucrado y revisar periódicamente sus resultados para realizar los ajustes necesarios.</w:t>
      </w:r>
    </w:p>
    <w:p/>
    <w:p>
      <w:pPr>
        <w:spacing w:line="240" w:lineRule="auto" w:before="0" w:after="0"/>
        <w:ind w:firstLine="709"/>
      </w:pPr>
      <w:r>
        <w:rPr>
          <w:rFonts w:ascii="Times New Roman" w:hAnsi="Times New Roman"/>
          <w:b/>
          <w:sz w:val="24"/>
        </w:rPr>
        <w:t xml:space="preserve">Palabras claves: </w:t>
      </w:r>
      <w:r>
        <w:rPr>
          <w:rFonts w:ascii="Times New Roman" w:hAnsi="Times New Roman"/>
          <w:sz w:val="24"/>
        </w:rPr>
        <w:t>procura, simplificación administrativa, control interno, requisiciones, pasantías</w:t>
      </w:r>
    </w:p>
    <w:p>
      <w:pPr>
        <w:sectPr>
          <w:footerReference w:type="default" r:id="rId37"/>
          <w:type w:val="continuous"/>
          <w:pgSz w:w="12240" w:h="15840"/>
          <w:pgMar w:top="1701" w:right="1701" w:bottom="1701" w:left="2268" w:header="720" w:footer="720" w:gutter="0"/>
          <w:cols w:space="720"/>
          <w:docGrid w:linePitch="360"/>
          <w:pgNumType w:fmt="lowerRoman"/>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8"/>
          <w:footerReference w:type="first" r:id="rId39"/>
          <w:pgSz w:w="12240" w:h="15840"/>
          <w:pgMar w:top="1701" w:right="1701" w:bottom="1701" w:left="2268" w:header="720" w:footer="720" w:gutter="0"/>
          <w:cols w:space="720"/>
          <w:titlePg/>
          <w:docGrid w:linePitch="360"/>
          <w:pgNumType w:fmt="decimal" w:start="1"/>
        </w:sectPr>
      </w:pPr>
    </w:p>
    <w:p>
      <w:pPr>
        <w:spacing w:line="360" w:lineRule="auto" w:after="0" w:before="0"/>
        <w:ind w:firstLine="709"/>
        <w:jc w:val="both"/>
      </w:pPr>
      <w:r>
        <w:rPr>
          <w:rFonts w:ascii="Times New Roman" w:hAnsi="Times New Roman"/>
          <w:i w:val="0"/>
          <w:sz w:val="24"/>
        </w:rPr>
        <w:t>Las pasantías profesionales permiten vincular los conocimientos adquiridos durante la formación en Administración con situaciones reales de funcionamiento organizacional. En el área administrativa, la procura representa un proceso de apoyo indispensable porque articula la recepción de requerimientos, búsqueda de cotizaciones, evaluación de alternativas, aprobación y adquisición de bienes o servicios necesarios para la continuidad de las operaciones.</w:t>
      </w:r>
    </w:p>
    <w:p>
      <w:pPr>
        <w:spacing w:line="360" w:lineRule="auto" w:after="0" w:before="0"/>
        <w:ind w:firstLine="709"/>
        <w:jc w:val="both"/>
      </w:pPr>
      <w:r>
        <w:rPr>
          <w:rFonts w:ascii="Times New Roman" w:hAnsi="Times New Roman"/>
          <w:i w:val="0"/>
          <w:sz w:val="24"/>
        </w:rPr>
        <w:t>En Lubricantes y Equipos Varyna, C.A., las actividades de pasantía se desarrollaron en el Departamento Administrativo con énfasis en el área de procura. Durante la práctica se identificaron oportunidades de mejora relacionadas con la recepción de requisiciones, el seguimiento de cotizaciones, la estandarización de formatos y la definición del recorrido que debe seguir cada solicitud de compra. Estas condiciones justificaron la formulación de una propuesta de simplificación administrativa adaptada a la dinámica del departamento.</w:t>
      </w:r>
    </w:p>
    <w:p>
      <w:pPr>
        <w:spacing w:line="360" w:lineRule="auto" w:after="0" w:before="0"/>
        <w:ind w:firstLine="709"/>
        <w:jc w:val="both"/>
      </w:pPr>
      <w:r>
        <w:rPr>
          <w:rFonts w:ascii="Times New Roman" w:hAnsi="Times New Roman"/>
          <w:i w:val="0"/>
          <w:sz w:val="24"/>
        </w:rPr>
        <w:t>El propósito del informe es presentar el diagnóstico realizado, los objetivos definidos, la planificación de las actividades y la propuesta formulada. Como soporte conceptual se abordan la procura, el proceso administrativo, el control interno y la simplificación de procedimientos, complementados con un marco legal general relacionado con la actividad económica y el orden de los registros mercantiles.</w:t>
      </w:r>
    </w:p>
    <w:p>
      <w:pPr>
        <w:spacing w:line="360" w:lineRule="auto" w:after="0" w:before="0"/>
        <w:ind w:firstLine="709"/>
        <w:jc w:val="both"/>
      </w:pPr>
      <w:r>
        <w:rPr>
          <w:rFonts w:ascii="Times New Roman" w:hAnsi="Times New Roman"/>
          <w:i w:val="0"/>
          <w:sz w:val="24"/>
        </w:rPr>
        <w:t>El informe se organiza en cinco capítulos. El Capítulo I describe la realidad organizacional de Lubricantes y Equipos Varyna, C.A.; el Capítulo II presenta la situación problemática, los objetivos, la planificación integral y el cronograma; el Capítulo III desarrolla los fundamentos teóricos y legales; el Capítulo IV describe las actividades operativas y de análisis realizadas durante las diez semanas; y el Capítulo V contiene las conclusiones y recomendaciones derivadas de la experiencia de pasantía.</w:t>
      </w:r>
    </w:p>
    <w:p>
      <w:pPr>
        <w:sectPr>
          <w:footerReference w:type="default" r:id="rId40"/>
          <w:footerReference w:type="first" r:id="rId41"/>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42"/>
          <w:footerReference w:type="first" r:id="rId43"/>
          <w:pgSz w:w="12240" w:h="15840"/>
          <w:pgMar w:top="1701" w:right="1701" w:bottom="1701" w:left="2268" w:header="720" w:footer="720" w:gutter="0"/>
          <w:cols w:space="720"/>
          <w:titlePg/>
          <w:docGrid w:linePitch="360"/>
          <w:pgNumType w:fmt="decimal"/>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Lubricantes y Equipos Varyna, 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Lubricantes y Equipos Varyna, C.A. es una empresa venezolana fundada con la visión de responder a las crecientes demandas operativas e industriales del país. A lo largo de más de treinta y seis (36)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spacing w:line="360" w:lineRule="auto" w:after="0" w:before="0"/>
        <w:ind w:firstLine="709"/>
        <w:jc w:val="both"/>
      </w:pPr>
      <w:r>
        <w:rPr>
          <w:rFonts w:ascii="Times New Roman" w:hAnsi="Times New Roman"/>
          <w:i w:val="0"/>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spacing w:line="360" w:lineRule="auto" w:after="0" w:before="0"/>
        <w:ind w:firstLine="709"/>
        <w:jc w:val="both"/>
      </w:pPr>
      <w:r>
        <w:rPr>
          <w:rFonts w:ascii="Times New Roman" w:hAnsi="Times New Roman"/>
          <w:i w:val="0"/>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Varyna, C.A. mantiene su compromiso con el desarrollo productivo del país, sustentando su liderazgo en la innovación continua, la calidad de servicio y el fortalecimiento constante de su capital humano y capacidad logística.</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el conglomerado de empresas líderes en cada una de las categorías en las que participamos, generando modelos de negocios altamente competitivos, atendiendo a nuestros distintos beneficiarios con productos y servicios de calidad.</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pPr>
        <w:spacing w:before="480"/>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logo.jpg"/>
                    <pic:cNvPicPr/>
                  </pic:nvPicPr>
                  <pic:blipFill>
                    <a:blip r:embed="rId10"/>
                    <a:stretch>
                      <a:fillRect/>
                    </a:stretch>
                  </pic:blipFill>
                  <pic:spPr>
                    <a:xfrm>
                      <a:off x="0" y="0"/>
                      <a:ext cx="1512000" cy="1512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Logotipo de Lubricantes y Equipos Varyna, C.A.</w:t>
      </w:r>
      <w:bookmarkEnd w:id="bm_grafico1"/>
    </w:p>
    <w:p>
      <w:pPr>
        <w:spacing w:before="0" w:after="240"/>
        <w:jc w:val="center"/>
      </w:pPr>
      <w:r>
        <w:rPr>
          <w:rFonts w:ascii="Times New Roman" w:hAnsi="Times New Roman"/>
          <w:i/>
          <w:sz w:val="24"/>
        </w:rPr>
        <w:t xml:space="preserve">Fuente: </w:t>
      </w:r>
      <w:r>
        <w:rPr>
          <w:rFonts w:ascii="Times New Roman" w:hAnsi="Times New Roman"/>
          <w:sz w:val="24"/>
        </w:rPr>
        <w:t>Lubricantes y Equipos Varyna, C.A. (2026).</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480"/>
        <w:jc w:val="center"/>
      </w:pPr>
      <w:r>
        <w:drawing>
          <wp:inline xmlns:a="http://schemas.openxmlformats.org/drawingml/2006/main" xmlns:pic="http://schemas.openxmlformats.org/drawingml/2006/picture">
            <wp:extent cx="1800000" cy="1315385"/>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800000" cy="1315385"/>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Representación cartográfica y ubicación espacial de la empresa.</w:t>
      </w:r>
      <w:bookmarkEnd w:id="bm_grafico2"/>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Layout w:type="fixed"/>
      </w:tblPr>
      <w:tblGrid>
        <w:gridCol w:w="1984"/>
        <w:gridCol w:w="2886"/>
        <w:gridCol w:w="1134"/>
        <w:gridCol w:w="1134"/>
        <w:gridCol w:w="1134"/>
      </w:tblGrid>
      <w:tr>
        <w:tc>
          <w:tcPr>
            <w:tcW w:w="1984" w:type="dxa"/>
            <w:shd w:fill="D9E2F3"/>
          </w:tcPr>
          <w:p>
            <w:pPr>
              <w:spacing w:line="240" w:lineRule="auto" w:before="40" w:after="40"/>
              <w:jc w:val="center"/>
            </w:pPr>
            <w:r/>
            <w:r>
              <w:rPr>
                <w:rFonts w:ascii="Times New Roman" w:hAnsi="Times New Roman"/>
                <w:b/>
                <w:sz w:val="20"/>
              </w:rPr>
              <w:t>Departamento / Área</w:t>
            </w:r>
          </w:p>
        </w:tc>
        <w:tc>
          <w:tcPr>
            <w:tcW w:w="2886" w:type="dxa"/>
            <w:shd w:fill="D9E2F3"/>
          </w:tcPr>
          <w:p>
            <w:pPr>
              <w:spacing w:line="240" w:lineRule="auto" w:before="40" w:after="40"/>
              <w:jc w:val="center"/>
            </w:pPr>
            <w:r/>
            <w:r>
              <w:rPr>
                <w:rFonts w:ascii="Times New Roman" w:hAnsi="Times New Roman"/>
                <w:b/>
                <w:sz w:val="20"/>
              </w:rPr>
              <w:t>Cargo</w:t>
            </w:r>
          </w:p>
        </w:tc>
        <w:tc>
          <w:tcPr>
            <w:tcW w:w="1134" w:type="dxa"/>
            <w:shd w:fill="D9E2F3"/>
          </w:tcPr>
          <w:p>
            <w:pPr>
              <w:spacing w:line="240" w:lineRule="auto" w:before="40" w:after="40"/>
              <w:jc w:val="center"/>
            </w:pPr>
            <w:r/>
            <w:r>
              <w:rPr>
                <w:rFonts w:ascii="Times New Roman" w:hAnsi="Times New Roman"/>
                <w:b/>
                <w:sz w:val="20"/>
              </w:rPr>
              <w:t>Femenino</w:t>
            </w:r>
          </w:p>
        </w:tc>
        <w:tc>
          <w:tcPr>
            <w:tcW w:w="1134" w:type="dxa"/>
            <w:shd w:fill="D9E2F3"/>
          </w:tcPr>
          <w:p>
            <w:pPr>
              <w:spacing w:line="240" w:lineRule="auto" w:before="40" w:after="40"/>
              <w:jc w:val="center"/>
            </w:pPr>
            <w:r/>
            <w:r>
              <w:rPr>
                <w:rFonts w:ascii="Times New Roman" w:hAnsi="Times New Roman"/>
                <w:b/>
                <w:sz w:val="20"/>
              </w:rPr>
              <w:t>Masculino</w:t>
            </w:r>
          </w:p>
        </w:tc>
        <w:tc>
          <w:tcPr>
            <w:tcW w:w="1134" w:type="dxa"/>
            <w:shd w:fill="D9E2F3"/>
          </w:tcPr>
          <w:p>
            <w:pPr>
              <w:spacing w:line="240" w:lineRule="auto" w:before="40" w:after="40"/>
              <w:jc w:val="center"/>
            </w:pPr>
            <w:r/>
            <w:r>
              <w:rPr>
                <w:rFonts w:ascii="Times New Roman" w:hAnsi="Times New Roman"/>
                <w:b/>
                <w:sz w:val="20"/>
              </w:rPr>
              <w:t>Total</w:t>
            </w:r>
          </w:p>
        </w:tc>
      </w:tr>
      <w:tr>
        <w:tc>
          <w:tcPr>
            <w:tcW w:type="dxa" w:w="1984"/>
          </w:tcPr>
          <w:p>
            <w:pPr>
              <w:spacing w:line="240" w:lineRule="auto" w:before="40" w:after="40"/>
              <w:jc w:val="left"/>
            </w:pPr>
            <w:r/>
            <w:r>
              <w:rPr>
                <w:rFonts w:ascii="Times New Roman" w:hAnsi="Times New Roman"/>
                <w:sz w:val="20"/>
              </w:rPr>
              <w:t>Alta Dirección</w:t>
            </w:r>
          </w:p>
        </w:tc>
        <w:tc>
          <w:tcPr>
            <w:tcW w:type="dxa" w:w="2886"/>
          </w:tcPr>
          <w:p>
            <w:pPr>
              <w:spacing w:line="240" w:lineRule="auto" w:before="40" w:after="40"/>
              <w:jc w:val="left"/>
            </w:pPr>
            <w:r/>
            <w:r>
              <w:rPr>
                <w:rFonts w:ascii="Times New Roman" w:hAnsi="Times New Roman"/>
                <w:sz w:val="20"/>
              </w:rPr>
              <w:t>Gerente General</w:t>
            </w:r>
          </w:p>
        </w:tc>
        <w:tc>
          <w:tcPr>
            <w:tcW w:type="dxa" w:w="1134"/>
          </w:tcPr>
          <w:p>
            <w:pPr>
              <w:spacing w:line="240" w:lineRule="auto" w:before="40" w:after="40"/>
              <w:jc w:val="center"/>
            </w:pPr>
            <w:r/>
            <w:r>
              <w:rPr>
                <w:rFonts w:ascii="Times New Roman" w:hAnsi="Times New Roman"/>
                <w:sz w:val="20"/>
              </w:rPr>
              <w:t>0</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r>
      <w:tr>
        <w:tc>
          <w:tcPr>
            <w:tcW w:type="dxa" w:w="1984"/>
          </w:tcPr>
          <w:p>
            <w:pPr>
              <w:spacing w:line="240" w:lineRule="auto" w:before="40" w:after="40"/>
              <w:jc w:val="left"/>
            </w:pPr>
            <w:r/>
            <w:r>
              <w:rPr>
                <w:rFonts w:ascii="Times New Roman" w:hAnsi="Times New Roman"/>
                <w:sz w:val="20"/>
              </w:rPr>
              <w:t>Dirección Operativa</w:t>
            </w:r>
          </w:p>
        </w:tc>
        <w:tc>
          <w:tcPr>
            <w:tcW w:type="dxa" w:w="2886"/>
          </w:tcPr>
          <w:p>
            <w:pPr>
              <w:spacing w:line="240" w:lineRule="auto" w:before="40" w:after="40"/>
              <w:jc w:val="left"/>
            </w:pPr>
            <w:r/>
            <w:r>
              <w:rPr>
                <w:rFonts w:ascii="Times New Roman" w:hAnsi="Times New Roman"/>
                <w:sz w:val="20"/>
              </w:rPr>
              <w:t>Gerente de Operaciones</w:t>
            </w:r>
          </w:p>
        </w:tc>
        <w:tc>
          <w:tcPr>
            <w:tcW w:type="dxa" w:w="1134"/>
          </w:tcPr>
          <w:p>
            <w:pPr>
              <w:spacing w:line="240" w:lineRule="auto" w:before="40" w:after="40"/>
              <w:jc w:val="center"/>
            </w:pPr>
            <w:r/>
            <w:r>
              <w:rPr>
                <w:rFonts w:ascii="Times New Roman" w:hAnsi="Times New Roman"/>
                <w:sz w:val="20"/>
              </w:rPr>
              <w:t>0</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r>
      <w:tr>
        <w:tc>
          <w:tcPr>
            <w:tcW w:type="dxa" w:w="1984"/>
          </w:tcPr>
          <w:p>
            <w:pPr>
              <w:spacing w:line="240" w:lineRule="auto" w:before="40" w:after="40"/>
              <w:jc w:val="left"/>
            </w:pPr>
            <w:r/>
            <w:r>
              <w:rPr>
                <w:rFonts w:ascii="Times New Roman" w:hAnsi="Times New Roman"/>
                <w:sz w:val="20"/>
              </w:rPr>
              <w:t>Control y Avance</w:t>
            </w:r>
          </w:p>
        </w:tc>
        <w:tc>
          <w:tcPr>
            <w:tcW w:type="dxa" w:w="2886"/>
          </w:tcPr>
          <w:p>
            <w:pPr>
              <w:spacing w:line="240" w:lineRule="auto" w:before="40" w:after="40"/>
              <w:jc w:val="left"/>
            </w:pPr>
            <w:r/>
            <w:r>
              <w:rPr>
                <w:rFonts w:ascii="Times New Roman" w:hAnsi="Times New Roman"/>
                <w:sz w:val="20"/>
              </w:rPr>
              <w:t>Gerente / Operaciones Morichal</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2</w:t>
            </w:r>
          </w:p>
        </w:tc>
      </w:tr>
      <w:tr>
        <w:tc>
          <w:tcPr>
            <w:tcW w:type="dxa" w:w="1984"/>
          </w:tcPr>
          <w:p>
            <w:pPr>
              <w:spacing w:line="240" w:lineRule="auto" w:before="40" w:after="40"/>
              <w:jc w:val="left"/>
            </w:pPr>
            <w:r/>
            <w:r>
              <w:rPr>
                <w:rFonts w:ascii="Times New Roman" w:hAnsi="Times New Roman"/>
                <w:sz w:val="20"/>
              </w:rPr>
              <w:t>Administración (Área de Pasantía)</w:t>
            </w:r>
          </w:p>
        </w:tc>
        <w:tc>
          <w:tcPr>
            <w:tcW w:type="dxa" w:w="2886"/>
          </w:tcPr>
          <w:p>
            <w:pPr>
              <w:spacing w:line="240" w:lineRule="auto" w:before="40" w:after="40"/>
              <w:jc w:val="left"/>
            </w:pPr>
            <w:r/>
            <w:r>
              <w:rPr>
                <w:rFonts w:ascii="Times New Roman" w:hAnsi="Times New Roman"/>
                <w:sz w:val="20"/>
              </w:rPr>
              <w:t>Administración / Asistentes Administrativos</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3</w:t>
            </w:r>
          </w:p>
        </w:tc>
      </w:tr>
      <w:tr>
        <w:tc>
          <w:tcPr>
            <w:tcW w:type="dxa" w:w="1984"/>
          </w:tcPr>
          <w:p>
            <w:pPr>
              <w:spacing w:line="240" w:lineRule="auto" w:before="40" w:after="40"/>
              <w:jc w:val="left"/>
            </w:pPr>
            <w:r/>
            <w:r>
              <w:rPr>
                <w:rFonts w:ascii="Times New Roman" w:hAnsi="Times New Roman"/>
                <w:sz w:val="20"/>
              </w:rPr>
            </w:r>
          </w:p>
        </w:tc>
        <w:tc>
          <w:tcPr>
            <w:tcW w:type="dxa" w:w="2886"/>
          </w:tcPr>
          <w:p>
            <w:pPr>
              <w:spacing w:line="240" w:lineRule="auto" w:before="40" w:after="40"/>
              <w:jc w:val="left"/>
            </w:pPr>
            <w:r/>
            <w:r>
              <w:rPr>
                <w:rFonts w:ascii="Times New Roman" w:hAnsi="Times New Roman"/>
                <w:sz w:val="20"/>
              </w:rPr>
              <w:t>Control de Avance, Logística y Compras (Procura)</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2</w:t>
            </w:r>
          </w:p>
        </w:tc>
      </w:tr>
      <w:tr>
        <w:tc>
          <w:tcPr>
            <w:tcW w:type="dxa" w:w="1984"/>
          </w:tcPr>
          <w:p>
            <w:pPr>
              <w:spacing w:line="240" w:lineRule="auto" w:before="40" w:after="40"/>
              <w:jc w:val="left"/>
            </w:pPr>
            <w:r/>
            <w:r>
              <w:rPr>
                <w:rFonts w:ascii="Times New Roman" w:hAnsi="Times New Roman"/>
                <w:sz w:val="20"/>
              </w:rPr>
            </w:r>
          </w:p>
        </w:tc>
        <w:tc>
          <w:tcPr>
            <w:tcW w:type="dxa" w:w="2886"/>
          </w:tcPr>
          <w:p>
            <w:pPr>
              <w:spacing w:line="240" w:lineRule="auto" w:before="40" w:after="40"/>
              <w:jc w:val="left"/>
            </w:pPr>
            <w:r/>
            <w:r>
              <w:rPr>
                <w:rFonts w:ascii="Times New Roman" w:hAnsi="Times New Roman"/>
                <w:sz w:val="20"/>
              </w:rPr>
              <w:t>Operarios, Sup. Patio, Mantenimiento y Logística</w:t>
            </w:r>
          </w:p>
        </w:tc>
        <w:tc>
          <w:tcPr>
            <w:tcW w:type="dxa" w:w="1134"/>
          </w:tcPr>
          <w:p>
            <w:pPr>
              <w:spacing w:line="240" w:lineRule="auto" w:before="40" w:after="40"/>
              <w:jc w:val="center"/>
            </w:pPr>
            <w:r/>
            <w:r>
              <w:rPr>
                <w:rFonts w:ascii="Times New Roman" w:hAnsi="Times New Roman"/>
                <w:sz w:val="20"/>
              </w:rPr>
              <w:t>0</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2</w:t>
            </w:r>
          </w:p>
        </w:tc>
      </w:tr>
      <w:tr>
        <w:tc>
          <w:tcPr>
            <w:tcW w:type="dxa" w:w="1984"/>
          </w:tcPr>
          <w:p>
            <w:pPr>
              <w:spacing w:line="240" w:lineRule="auto" w:before="40" w:after="40"/>
              <w:jc w:val="left"/>
            </w:pPr>
            <w:r/>
            <w:r>
              <w:rPr>
                <w:rFonts w:ascii="Times New Roman" w:hAnsi="Times New Roman"/>
                <w:sz w:val="20"/>
              </w:rPr>
              <w:t>Contratación y Adm. Contratos</w:t>
            </w:r>
          </w:p>
        </w:tc>
        <w:tc>
          <w:tcPr>
            <w:tcW w:type="dxa" w:w="2886"/>
          </w:tcPr>
          <w:p>
            <w:pPr>
              <w:spacing w:line="240" w:lineRule="auto" w:before="40" w:after="40"/>
              <w:jc w:val="left"/>
            </w:pPr>
            <w:r/>
            <w:r>
              <w:rPr>
                <w:rFonts w:ascii="Times New Roman" w:hAnsi="Times New Roman"/>
                <w:sz w:val="20"/>
              </w:rPr>
              <w:t>Gerente / Estimadores, Administradores, Planificadores</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3</w:t>
            </w:r>
          </w:p>
        </w:tc>
      </w:tr>
      <w:tr>
        <w:tc>
          <w:tcPr>
            <w:tcW w:type="dxa" w:w="1984"/>
          </w:tcPr>
          <w:p>
            <w:pPr>
              <w:spacing w:line="240" w:lineRule="auto" w:before="40" w:after="40"/>
              <w:jc w:val="left"/>
            </w:pPr>
            <w:r/>
            <w:r>
              <w:rPr>
                <w:rFonts w:ascii="Times New Roman" w:hAnsi="Times New Roman"/>
                <w:sz w:val="20"/>
              </w:rPr>
              <w:t>Recursos Humanos</w:t>
            </w:r>
          </w:p>
        </w:tc>
        <w:tc>
          <w:tcPr>
            <w:tcW w:type="dxa" w:w="2886"/>
          </w:tcPr>
          <w:p>
            <w:pPr>
              <w:spacing w:line="240" w:lineRule="auto" w:before="40" w:after="40"/>
              <w:jc w:val="left"/>
            </w:pPr>
            <w:r/>
            <w:r>
              <w:rPr>
                <w:rFonts w:ascii="Times New Roman" w:hAnsi="Times New Roman"/>
                <w:sz w:val="20"/>
              </w:rPr>
              <w:t>Gerente de RRHH-Laborales / Asistentes</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3</w:t>
            </w:r>
          </w:p>
        </w:tc>
      </w:tr>
      <w:tr>
        <w:tc>
          <w:tcPr>
            <w:tcW w:type="dxa" w:w="1984"/>
          </w:tcPr>
          <w:p>
            <w:pPr>
              <w:spacing w:line="240" w:lineRule="auto" w:before="40" w:after="40"/>
              <w:jc w:val="left"/>
            </w:pPr>
            <w:r/>
            <w:r>
              <w:rPr>
                <w:rFonts w:ascii="Times New Roman" w:hAnsi="Times New Roman"/>
                <w:sz w:val="20"/>
              </w:rPr>
              <w:t>Proyectos y Producción</w:t>
            </w:r>
          </w:p>
        </w:tc>
        <w:tc>
          <w:tcPr>
            <w:tcW w:type="dxa" w:w="2886"/>
          </w:tcPr>
          <w:p>
            <w:pPr>
              <w:spacing w:line="240" w:lineRule="auto" w:before="40" w:after="40"/>
              <w:jc w:val="left"/>
            </w:pPr>
            <w:r/>
            <w:r>
              <w:rPr>
                <w:rFonts w:ascii="Times New Roman" w:hAnsi="Times New Roman"/>
                <w:sz w:val="20"/>
              </w:rPr>
              <w:t>Gerentes de Proyecto, Optimización y Servicios</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3</w:t>
            </w:r>
          </w:p>
        </w:tc>
      </w:tr>
      <w:tr>
        <w:tc>
          <w:tcPr>
            <w:tcW w:type="dxa" w:w="1984"/>
          </w:tcPr>
          <w:p>
            <w:pPr>
              <w:spacing w:line="240" w:lineRule="auto" w:before="40" w:after="40"/>
              <w:jc w:val="left"/>
            </w:pPr>
            <w:r/>
            <w:r>
              <w:rPr>
                <w:rFonts w:ascii="Times New Roman" w:hAnsi="Times New Roman"/>
                <w:sz w:val="20"/>
              </w:rPr>
            </w:r>
          </w:p>
        </w:tc>
        <w:tc>
          <w:tcPr>
            <w:tcW w:type="dxa" w:w="2886"/>
          </w:tcPr>
          <w:p>
            <w:pPr>
              <w:spacing w:line="240" w:lineRule="auto" w:before="40" w:after="40"/>
              <w:jc w:val="left"/>
            </w:pPr>
            <w:r/>
            <w:r>
              <w:rPr>
                <w:rFonts w:ascii="Times New Roman" w:hAnsi="Times New Roman"/>
                <w:sz w:val="20"/>
              </w:rPr>
              <w:t>Gerente Metalmecánico</w:t>
            </w:r>
          </w:p>
        </w:tc>
        <w:tc>
          <w:tcPr>
            <w:tcW w:type="dxa" w:w="1134"/>
          </w:tcPr>
          <w:p>
            <w:pPr>
              <w:spacing w:line="240" w:lineRule="auto" w:before="40" w:after="40"/>
              <w:jc w:val="center"/>
            </w:pPr>
            <w:r/>
            <w:r>
              <w:rPr>
                <w:rFonts w:ascii="Times New Roman" w:hAnsi="Times New Roman"/>
                <w:sz w:val="20"/>
              </w:rPr>
              <w:t>0</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r>
      <w:tr>
        <w:tc>
          <w:tcPr>
            <w:tcW w:type="dxa" w:w="1984"/>
          </w:tcPr>
          <w:p>
            <w:pPr>
              <w:spacing w:line="240" w:lineRule="auto" w:before="40" w:after="40"/>
              <w:jc w:val="left"/>
            </w:pPr>
            <w:r/>
            <w:r>
              <w:rPr>
                <w:rFonts w:ascii="Times New Roman" w:hAnsi="Times New Roman"/>
                <w:sz w:val="20"/>
              </w:rPr>
              <w:t>Ingeniería y Campo</w:t>
            </w:r>
          </w:p>
        </w:tc>
        <w:tc>
          <w:tcPr>
            <w:tcW w:type="dxa" w:w="2886"/>
          </w:tcPr>
          <w:p>
            <w:pPr>
              <w:spacing w:line="240" w:lineRule="auto" w:before="40" w:after="40"/>
              <w:jc w:val="left"/>
            </w:pPr>
            <w:r/>
            <w:r>
              <w:rPr>
                <w:rFonts w:ascii="Times New Roman" w:hAnsi="Times New Roman"/>
                <w:sz w:val="20"/>
              </w:rPr>
              <w:t>Ingenieros Residentes / Coordinadores (SIHO-A, Calidad)</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3</w:t>
            </w:r>
          </w:p>
        </w:tc>
        <w:tc>
          <w:tcPr>
            <w:tcW w:type="dxa" w:w="1134"/>
          </w:tcPr>
          <w:p>
            <w:pPr>
              <w:spacing w:line="240" w:lineRule="auto" w:before="40" w:after="40"/>
              <w:jc w:val="center"/>
            </w:pPr>
            <w:r/>
            <w:r>
              <w:rPr>
                <w:rFonts w:ascii="Times New Roman" w:hAnsi="Times New Roman"/>
                <w:sz w:val="20"/>
              </w:rPr>
              <w:t>5</w:t>
            </w:r>
          </w:p>
        </w:tc>
      </w:tr>
      <w:tr>
        <w:tc>
          <w:tcPr>
            <w:tcW w:type="dxa" w:w="1984"/>
          </w:tcPr>
          <w:p>
            <w:pPr>
              <w:spacing w:line="240" w:lineRule="auto" w:before="40" w:after="40"/>
              <w:jc w:val="left"/>
            </w:pPr>
            <w:r/>
            <w:r>
              <w:rPr>
                <w:rFonts w:ascii="Times New Roman" w:hAnsi="Times New Roman"/>
                <w:sz w:val="20"/>
              </w:rPr>
            </w:r>
          </w:p>
        </w:tc>
        <w:tc>
          <w:tcPr>
            <w:tcW w:type="dxa" w:w="2886"/>
          </w:tcPr>
          <w:p>
            <w:pPr>
              <w:spacing w:line="240" w:lineRule="auto" w:before="40" w:after="40"/>
              <w:jc w:val="left"/>
            </w:pPr>
            <w:r/>
            <w:r>
              <w:rPr>
                <w:rFonts w:ascii="Times New Roman" w:hAnsi="Times New Roman"/>
                <w:sz w:val="20"/>
              </w:rPr>
              <w:t>Inspectores (SIHO, Ambiente, Paramédicos, Calidad)</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2</w:t>
            </w:r>
          </w:p>
        </w:tc>
        <w:tc>
          <w:tcPr>
            <w:tcW w:type="dxa" w:w="1134"/>
          </w:tcPr>
          <w:p>
            <w:pPr>
              <w:spacing w:line="240" w:lineRule="auto" w:before="40" w:after="40"/>
              <w:jc w:val="center"/>
            </w:pPr>
            <w:r/>
            <w:r>
              <w:rPr>
                <w:rFonts w:ascii="Times New Roman" w:hAnsi="Times New Roman"/>
                <w:sz w:val="20"/>
              </w:rPr>
              <w:t>4</w:t>
            </w:r>
          </w:p>
        </w:tc>
      </w:tr>
      <w:tr>
        <w:tc>
          <w:tcPr>
            <w:tcW w:type="dxa" w:w="1984"/>
          </w:tcPr>
          <w:p>
            <w:pPr>
              <w:spacing w:line="240" w:lineRule="auto" w:before="40" w:after="40"/>
              <w:jc w:val="left"/>
            </w:pPr>
            <w:r/>
            <w:r>
              <w:rPr>
                <w:rFonts w:ascii="Times New Roman" w:hAnsi="Times New Roman"/>
                <w:sz w:val="20"/>
              </w:rPr>
            </w:r>
          </w:p>
        </w:tc>
        <w:tc>
          <w:tcPr>
            <w:tcW w:type="dxa" w:w="2886"/>
          </w:tcPr>
          <w:p>
            <w:pPr>
              <w:spacing w:line="240" w:lineRule="auto" w:before="40" w:after="40"/>
              <w:jc w:val="left"/>
            </w:pPr>
            <w:r/>
            <w:r>
              <w:rPr>
                <w:rFonts w:ascii="Times New Roman" w:hAnsi="Times New Roman"/>
                <w:sz w:val="20"/>
              </w:rPr>
              <w:t>Supervisor de Obras, Operadores, Chóferes, Soldadores, Obreros</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10</w:t>
            </w:r>
          </w:p>
        </w:tc>
        <w:tc>
          <w:tcPr>
            <w:tcW w:type="dxa" w:w="1134"/>
          </w:tcPr>
          <w:p>
            <w:pPr>
              <w:spacing w:line="240" w:lineRule="auto" w:before="40" w:after="40"/>
              <w:jc w:val="center"/>
            </w:pPr>
            <w:r/>
            <w:r>
              <w:rPr>
                <w:rFonts w:ascii="Times New Roman" w:hAnsi="Times New Roman"/>
                <w:sz w:val="20"/>
              </w:rPr>
              <w:t>11</w:t>
            </w:r>
          </w:p>
        </w:tc>
      </w:tr>
      <w:tr>
        <w:tc>
          <w:tcPr>
            <w:tcW w:type="dxa" w:w="1984"/>
          </w:tcPr>
          <w:p>
            <w:pPr>
              <w:spacing w:line="240" w:lineRule="auto" w:before="40" w:after="40"/>
              <w:jc w:val="left"/>
            </w:pPr>
            <w:r/>
            <w:r>
              <w:rPr>
                <w:rFonts w:ascii="Times New Roman" w:hAnsi="Times New Roman"/>
                <w:sz w:val="20"/>
              </w:rPr>
              <w:t>TOTAL GENERAL</w:t>
            </w:r>
          </w:p>
        </w:tc>
        <w:tc>
          <w:tcPr>
            <w:tcW w:type="dxa" w:w="2886"/>
          </w:tcPr>
          <w:p>
            <w:pPr>
              <w:spacing w:line="240" w:lineRule="auto" w:before="40" w:after="40"/>
              <w:jc w:val="left"/>
            </w:pPr>
            <w:r/>
            <w:r>
              <w:rPr>
                <w:rFonts w:ascii="Times New Roman" w:hAnsi="Times New Roman"/>
                <w:sz w:val="20"/>
              </w:rPr>
            </w:r>
          </w:p>
        </w:tc>
        <w:tc>
          <w:tcPr>
            <w:tcW w:type="dxa" w:w="1134"/>
          </w:tcPr>
          <w:p>
            <w:pPr>
              <w:spacing w:line="240" w:lineRule="auto" w:before="40" w:after="40"/>
              <w:jc w:val="center"/>
            </w:pPr>
            <w:r/>
            <w:r>
              <w:rPr>
                <w:rFonts w:ascii="Times New Roman" w:hAnsi="Times New Roman"/>
                <w:sz w:val="20"/>
              </w:rPr>
              <w:t>14</w:t>
            </w:r>
          </w:p>
        </w:tc>
        <w:tc>
          <w:tcPr>
            <w:tcW w:type="dxa" w:w="1134"/>
          </w:tcPr>
          <w:p>
            <w:pPr>
              <w:spacing w:line="240" w:lineRule="auto" w:before="40" w:after="40"/>
              <w:jc w:val="center"/>
            </w:pPr>
            <w:r/>
            <w:r>
              <w:rPr>
                <w:rFonts w:ascii="Times New Roman" w:hAnsi="Times New Roman"/>
                <w:sz w:val="20"/>
              </w:rPr>
              <w:t>28</w:t>
            </w:r>
          </w:p>
        </w:tc>
        <w:tc>
          <w:tcPr>
            <w:tcW w:type="dxa" w:w="1134"/>
          </w:tcPr>
          <w:p>
            <w:pPr>
              <w:spacing w:line="240" w:lineRule="auto" w:before="40" w:after="40"/>
              <w:jc w:val="center"/>
            </w:pPr>
            <w:r/>
            <w:r>
              <w:rPr>
                <w:rFonts w:ascii="Times New Roman" w:hAnsi="Times New Roman"/>
                <w:sz w:val="20"/>
              </w:rPr>
              <w:t>42</w:t>
            </w:r>
          </w:p>
        </w:tc>
      </w:tr>
    </w:tbl>
    <w:p>
      <w:pPr>
        <w:spacing w:before="120" w:line="240" w:lineRule="auto"/>
      </w:pPr>
      <w:r>
        <w:rPr>
          <w:rFonts w:ascii="Times New Roman" w:hAnsi="Times New Roman"/>
          <w:i/>
          <w:sz w:val="20"/>
        </w:rPr>
        <w:t>Fuente: Información suministrada por Lubricantes y Equipos Varyna, C.A. (2026).</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Lubricantes y Equipos Varyna, C.A. es de tipo jerárquico-funcional y está integrada por la Gerencia General, Gerencia de Operaciones, Gerencia de Control y Avance, Departamento Administrativo, Gerencia de Contratación y Administración de Contratos, Recursos Humanos, gerencias técnicas y coordinaciones de SIHO-A y Calidad. A continuación, se presenta el organigrama general de la organización y las unidades vinculadas con el área donde se desarrollaron las pasantías.</w:t>
      </w:r>
    </w:p>
    <w:p>
      <w:pPr>
        <w:spacing w:before="480"/>
        <w:jc w:val="center"/>
      </w:pPr>
      <w:r>
        <w:drawing>
          <wp:inline xmlns:a="http://schemas.openxmlformats.org/drawingml/2006/main" xmlns:pic="http://schemas.openxmlformats.org/drawingml/2006/picture">
            <wp:extent cx="4320000" cy="2603179"/>
            <wp:docPr id="4" name="Picture 4"/>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4320000" cy="2603179"/>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estructural y niveles jerárquicos de la organización.</w:t>
      </w:r>
      <w:bookmarkEnd w:id="bm_grafico3"/>
    </w:p>
    <w:p>
      <w:bookmarkStart w:id="bm_cap1_departamento" w:name="bm_cap1_departamento"/>
      <w:pPr>
        <w:spacing w:before="480" w:after="480" w:line="360" w:lineRule="auto"/>
        <w:jc w:val="left"/>
      </w:pPr>
      <w:r>
        <w:rPr>
          <w:rFonts w:ascii="Times New Roman" w:hAnsi="Times New Roman"/>
          <w:b/>
          <w:sz w:val="24"/>
        </w:rPr>
        <w:t>Descripción del departamento donde realizó la pasantía</w:t>
      </w:r>
      <w:bookmarkEnd w:id="bm_cap1_departamento"/>
    </w:p>
    <w:p>
      <w:pPr>
        <w:spacing w:line="360" w:lineRule="auto" w:after="0" w:before="0"/>
        <w:ind w:firstLine="709"/>
        <w:jc w:val="both"/>
      </w:pPr>
      <w:r>
        <w:rPr>
          <w:rFonts w:ascii="Times New Roman" w:hAnsi="Times New Roman"/>
          <w:i w:val="0"/>
          <w:sz w:val="24"/>
        </w:rPr>
        <w:t>El Departamento Administrativo fue el área en la que se desarrollaron las pasantías profesionales. Dentro de esta unidad se realizan actividades relacionadas con administración, control de documentación, logística y procura. En lo relativo al proceso de compras, el departamento recibe requerimientos, gestiona solicitudes de cotización, mantiene comunicación con proveedores, prepara y tramita documentación de compra y realiza seguimiento a las adquisiciones hasta su correspondiente cierre administrativo. La pasantía se concentró especialmente en estas actividades de procura, lo que permitió observar el recorrido de las requisiciones, identificar oportunidades de simplificación y formular una propuesta ajustada a las necesidades operativas del área.</w:t>
      </w:r>
    </w:p>
    <w:p>
      <w:pPr>
        <w:sectPr>
          <w:footerReference w:type="default" r:id="rId44"/>
          <w:footerReference w:type="first" r:id="rId45"/>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46"/>
          <w:footerReference w:type="first" r:id="rId47"/>
          <w:pgSz w:w="12240" w:h="15840"/>
          <w:pgMar w:top="1701" w:right="1701" w:bottom="1701" w:left="2268" w:header="720" w:footer="720" w:gutter="0"/>
          <w:cols w:space="720"/>
          <w:titlePg/>
          <w:docGrid w:linePitch="360"/>
          <w:pgNumType w:fmt="decimal"/>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before="480" w:after="480" w:line="360" w:lineRule="auto"/>
        <w:jc w:val="left"/>
      </w:pPr>
      <w:r>
        <w:rPr>
          <w:rFonts w:ascii="Times New Roman" w:hAnsi="Times New Roman"/>
          <w:b/>
          <w:sz w:val="24"/>
        </w:rPr>
        <w:t>Nivel macro</w:t>
      </w:r>
    </w:p>
    <w:p>
      <w:pPr>
        <w:spacing w:line="360" w:lineRule="auto" w:after="0" w:before="0"/>
        <w:ind w:firstLine="709"/>
        <w:jc w:val="both"/>
      </w:pPr>
      <w:r>
        <w:rPr>
          <w:rFonts w:ascii="Times New Roman" w:hAnsi="Times New Roman"/>
          <w:i w:val="0"/>
          <w:sz w:val="24"/>
        </w:rPr>
        <w:t>En las organizaciones, los procesos de procura requieren coordinación entre las unidades que solicitan bienes o servicios, el personal encargado de compras, los responsables de autorización y los proveedores. Cuando las etapas no están claramente definidas, pueden presentarse duplicidades, retrasos y dificultades para conocer el estado de una solicitud, por lo que la simplificación administrativa debe orientarse a ordenar el recorrido documental sin eliminar los controles necesarios.</w:t>
      </w:r>
    </w:p>
    <w:p>
      <w:pPr>
        <w:spacing w:line="360" w:lineRule="auto" w:after="0" w:before="0"/>
        <w:ind w:firstLine="709"/>
        <w:jc w:val="both"/>
      </w:pPr>
      <w:r>
        <w:rPr>
          <w:rFonts w:ascii="Times New Roman" w:hAnsi="Times New Roman"/>
          <w:i w:val="0"/>
          <w:sz w:val="24"/>
        </w:rPr>
        <w:t>Desde la perspectiva administrativa, un procedimiento de compras resulta más controlable cuando dispone de canales de recepción definidos, formatos uniformes, responsables identificados y mecanismos de seguimiento. Estos elementos permiten disminuir la dependencia de acuerdos informales y facilitan que la información necesaria para cada adquisición se encuentre disponible durante las distintas fases del proceso.</w:t>
      </w:r>
    </w:p>
    <w:p>
      <w:pPr>
        <w:spacing w:before="480" w:after="480" w:line="360" w:lineRule="auto"/>
        <w:jc w:val="left"/>
      </w:pPr>
      <w:r>
        <w:rPr>
          <w:rFonts w:ascii="Times New Roman" w:hAnsi="Times New Roman"/>
          <w:b/>
          <w:sz w:val="24"/>
        </w:rPr>
        <w:t>Nivel meso</w:t>
      </w:r>
    </w:p>
    <w:p>
      <w:pPr>
        <w:spacing w:line="360" w:lineRule="auto" w:after="0" w:before="0"/>
        <w:ind w:firstLine="709"/>
        <w:jc w:val="both"/>
      </w:pPr>
      <w:r>
        <w:rPr>
          <w:rFonts w:ascii="Times New Roman" w:hAnsi="Times New Roman"/>
          <w:i w:val="0"/>
          <w:sz w:val="24"/>
        </w:rPr>
        <w:t>En empresas vinculadas con actividades petroleras, industriales y de construcción, la disponibilidad oportuna de materiales e insumos influye directamente en la continuidad de las operaciones. Por esta razón, el departamento administrativo debe mantener coordinación con las áreas solicitantes y con los proveedores, procurando que las requisiciones, cotizaciones y aprobaciones avancen mediante una secuencia comprensible y verificable.</w:t>
      </w:r>
    </w:p>
    <w:p>
      <w:pPr>
        <w:spacing w:line="360" w:lineRule="auto" w:after="0" w:before="0"/>
        <w:ind w:firstLine="709"/>
        <w:jc w:val="both"/>
      </w:pPr>
      <w:r>
        <w:rPr>
          <w:rFonts w:ascii="Times New Roman" w:hAnsi="Times New Roman"/>
          <w:i w:val="0"/>
          <w:sz w:val="24"/>
        </w:rPr>
        <w:t>Cuando el proceso de procura depende de formatos diferentes, canales dispersos de recepción o aprobaciones sin criterios previamente definidos, el personal debe invertir tiempo adicional en ubicar información, verificar solicitudes y determinar el estado de cada compra. Esta situación puede trasladar demoras administrativas hacia las actividades operativas que dependen de los suministros requeridos.</w:t>
      </w:r>
    </w:p>
    <w:p>
      <w:pPr>
        <w:spacing w:before="480" w:after="480" w:line="360" w:lineRule="auto"/>
        <w:jc w:val="left"/>
      </w:pPr>
      <w:r>
        <w:rPr>
          <w:rFonts w:ascii="Times New Roman" w:hAnsi="Times New Roman"/>
          <w:b/>
          <w:sz w:val="24"/>
        </w:rPr>
        <w:t>Nivel micro</w:t>
      </w:r>
    </w:p>
    <w:p>
      <w:pPr>
        <w:spacing w:line="360" w:lineRule="auto" w:after="0" w:before="0"/>
        <w:ind w:firstLine="709"/>
        <w:jc w:val="both"/>
      </w:pPr>
      <w:r>
        <w:rPr>
          <w:rFonts w:ascii="Times New Roman" w:hAnsi="Times New Roman"/>
          <w:i w:val="0"/>
          <w:sz w:val="24"/>
        </w:rPr>
        <w:t>En el Departamento Administrativo de Lubricantes y Equipos Varyna, C.A., se identificó una situación desfavorable relacionada con la dispersión del flujo procedimental de la procura. Las solicitudes de compra no cuentan con un canal único formalizado de recepción y se observaron oportunidades de mejora en la estandarización de los formatos utilizados para solicitar cotizaciones, emitir órdenes de compra y efectuar el seguimiento de cada adquisición.</w:t>
      </w:r>
    </w:p>
    <w:p>
      <w:pPr>
        <w:spacing w:line="360" w:lineRule="auto" w:after="0" w:before="0"/>
        <w:ind w:firstLine="709"/>
        <w:jc w:val="both"/>
      </w:pPr>
      <w:r>
        <w:rPr>
          <w:rFonts w:ascii="Times New Roman" w:hAnsi="Times New Roman"/>
          <w:i w:val="0"/>
          <w:sz w:val="24"/>
        </w:rPr>
        <w:t>Entre las manifestaciones observadas se encuentran cuellos de botella en las aprobaciones, dificultad para conocer el estatus de algunas cotizaciones, ausencia de niveles de autorización claramente definidos por monto y limitada disponibilidad de indicadores que permitan valorar el desempeño del ciclo de compras. Como consecuencia, se prolongan los tiempos de respuesta, se reduce la trazabilidad documental y aumenta la carga de seguimiento manual sobre el personal del área.</w:t>
      </w:r>
    </w:p>
    <w:p>
      <w:pPr>
        <w:spacing w:line="360" w:lineRule="auto" w:after="0" w:before="0"/>
        <w:ind w:firstLine="709"/>
        <w:jc w:val="both"/>
      </w:pPr>
      <w:r>
        <w:rPr>
          <w:rFonts w:ascii="Times New Roman" w:hAnsi="Times New Roman"/>
          <w:i w:val="0"/>
          <w:sz w:val="24"/>
        </w:rPr>
        <w:t>La situación descrita evidencia la necesidad de formular una propuesta de simplificación administrativa que organice el recorrido de las requisiciones, defina responsables, estandarice documentos y establezca mecanismos de seguimiento compatibles con el control interno del departamento.</w:t>
      </w:r>
    </w:p>
    <w:p>
      <w:pPr>
        <w:spacing w:before="480" w:after="480" w:line="360" w:lineRule="auto"/>
        <w:jc w:val="left"/>
      </w:pPr>
      <w:r>
        <w:rPr>
          <w:rFonts w:ascii="Times New Roman" w:hAnsi="Times New Roman"/>
          <w:b/>
          <w:sz w:val="24"/>
        </w:rPr>
        <w:t>Técnica empleada para el diagnóstico</w:t>
      </w:r>
    </w:p>
    <w:p>
      <w:pPr>
        <w:spacing w:line="360" w:lineRule="auto" w:after="0" w:before="0"/>
        <w:ind w:firstLine="709"/>
        <w:jc w:val="both"/>
      </w:pPr>
      <w:r>
        <w:rPr>
          <w:rFonts w:ascii="Times New Roman" w:hAnsi="Times New Roman"/>
          <w:i w:val="0"/>
          <w:sz w:val="24"/>
        </w:rPr>
        <w:t>Para organizar las causas de la problemática se utilizó el diagrama de causa-efecto o diagrama de Ishikawa, complementado con observación directa del flujo de procura, entrevistas estructuradas al personal y revisión de expedientes de compras. La técnica permitió agrupar factores asociados a procedimientos, responsabilidades, documentación y seguimiento, facilitando la identificación de los puntos que debían atenderse en la propuesta.</w:t>
      </w:r>
    </w:p>
    <w:p>
      <w:pPr>
        <w:spacing w:before="480" w:after="480" w:line="360" w:lineRule="auto"/>
        <w:jc w:val="left"/>
      </w:pPr>
      <w:r>
        <w:rPr>
          <w:rFonts w:ascii="Times New Roman" w:hAnsi="Times New Roman"/>
          <w:b/>
          <w:sz w:val="24"/>
        </w:rPr>
        <w:t>Interrogante orientadora</w:t>
      </w:r>
    </w:p>
    <w:p>
      <w:pPr>
        <w:spacing w:line="360" w:lineRule="auto" w:after="0" w:before="0"/>
        <w:ind w:firstLine="709"/>
        <w:jc w:val="both"/>
      </w:pPr>
      <w:r>
        <w:rPr>
          <w:rFonts w:ascii="Times New Roman" w:hAnsi="Times New Roman"/>
          <w:i w:val="0"/>
          <w:sz w:val="24"/>
        </w:rPr>
        <w:t>¿Cómo puede formularse una propuesta de simplificación administrativa del proceso de procura en el Departamento Administrativo de Lubricantes y Equipos Varyna, C.A., que reduzca la dispersión procedimental y fortalezca el seguimiento de las adquisiciones?</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la simplificación administrativa del proceso de procura en el Departamento Administrativo de Lubricantes y Equipos Varyna, C.A., con la finalidad de agilizar el ciclo de adquisición y fortalecer el control interno.</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actual de procura en el Departamento Administrativo de Lubricantes y Equipos Varyna, C.A., para conocer el recorrido de las requisiciones y los mecanismos de control utilizados.</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deficiencias, redundancias y causas que generan retrasos o pérdida de trazabilidad en las fases de recepción, cotización, aprobación y seguimiento de las adquisiciones.</w:t>
      </w:r>
    </w:p>
    <w:p>
      <w:pPr>
        <w:spacing w:line="360" w:lineRule="auto"/>
        <w:ind w:firstLine="709"/>
        <w:jc w:val="both"/>
      </w:pPr>
      <w:r>
        <w:rPr>
          <w:rFonts w:ascii="Times New Roman" w:hAnsi="Times New Roman"/>
          <w:sz w:val="24"/>
        </w:rPr>
        <w:t xml:space="preserve">3. </w:t>
      </w:r>
      <w:r>
        <w:rPr>
          <w:rFonts w:ascii="Times New Roman" w:hAnsi="Times New Roman"/>
          <w:sz w:val="24"/>
        </w:rPr>
        <w:t>Formular una propuesta de simplificación administrativa del proceso de procura que integre un flujo definido, responsables, formatos estandarizados, criterios de autorización y mecanismos de seguimiento.</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relaciona los tres objetivos específicos con las actividades, técnicas e instrumentos necesarios para diagnosticar el proceso, identificar sus deficiencias y formular la propuesta de simplificación administrativa:</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el proceso actual de procura en el Departamento Administrativo de Lubricantes y Equipos Varyna, C.A., para conocer el recorrido de las requisiciones y los mecanismos de control utilizados.</w:t>
            </w:r>
          </w:p>
        </w:tc>
        <w:tc>
          <w:tcPr>
            <w:tcW w:w="1644" w:type="dxa"/>
            <w:shd w:val="clear" w:color="auto" w:fill="FFFFFF"/>
          </w:tcPr>
          <w:p>
            <w:pPr>
              <w:spacing w:before="60" w:after="60" w:line="240" w:lineRule="auto"/>
              <w:jc w:val="both"/>
            </w:pPr>
            <w:r>
              <w:rPr>
                <w:rFonts w:ascii="Times New Roman" w:hAnsi="Times New Roman"/>
                <w:b w:val="0"/>
                <w:color w:val="000000"/>
                <w:sz w:val="20"/>
              </w:rPr>
              <w:t>Proceso actual de procura y recorrido de las requisiciones.</w:t>
            </w:r>
          </w:p>
        </w:tc>
        <w:tc>
          <w:tcPr>
            <w:tcW w:w="1644" w:type="dxa"/>
            <w:shd w:val="clear" w:color="auto" w:fill="FFFFFF"/>
          </w:tcPr>
          <w:p>
            <w:pPr>
              <w:spacing w:before="60" w:after="60" w:line="240" w:lineRule="auto"/>
              <w:jc w:val="both"/>
            </w:pPr>
            <w:r>
              <w:rPr>
                <w:rFonts w:ascii="Times New Roman" w:hAnsi="Times New Roman"/>
                <w:b w:val="0"/>
                <w:color w:val="000000"/>
                <w:sz w:val="20"/>
              </w:rPr>
              <w:t>Observar el ciclo de compras, levantar el flujo existente y aplicar una entrevista estructurada al personal relacionado con la procura.</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entrevista estructurada y revisión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Guía de observación, guía de entrevista, cuaderno de notas y expedientes de compra.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Identificar las deficiencias, redundancias y causas que generan retrasos o pérdida de trazabilidad en las fases de recepción, cotización, aprobación y seguimiento de las adquisiciones.</w:t>
            </w:r>
          </w:p>
        </w:tc>
        <w:tc>
          <w:tcPr>
            <w:tcW w:w="1644" w:type="dxa"/>
            <w:shd w:val="clear" w:color="auto" w:fill="D9E1F2"/>
          </w:tcPr>
          <w:p>
            <w:pPr>
              <w:spacing w:before="60" w:after="60" w:line="240" w:lineRule="auto"/>
              <w:jc w:val="both"/>
            </w:pPr>
            <w:r>
              <w:rPr>
                <w:rFonts w:ascii="Times New Roman" w:hAnsi="Times New Roman"/>
                <w:b w:val="0"/>
                <w:color w:val="000000"/>
                <w:sz w:val="20"/>
              </w:rPr>
              <w:t>Deficiencias, redundancias y causas de demora del proceso.</w:t>
            </w:r>
          </w:p>
        </w:tc>
        <w:tc>
          <w:tcPr>
            <w:tcW w:w="1644" w:type="dxa"/>
            <w:shd w:val="clear" w:color="auto" w:fill="D9E1F2"/>
          </w:tcPr>
          <w:p>
            <w:pPr>
              <w:spacing w:before="60" w:after="60" w:line="240" w:lineRule="auto"/>
              <w:jc w:val="both"/>
            </w:pPr>
            <w:r>
              <w:rPr>
                <w:rFonts w:ascii="Times New Roman" w:hAnsi="Times New Roman"/>
                <w:b w:val="0"/>
                <w:color w:val="000000"/>
                <w:sz w:val="20"/>
              </w:rPr>
              <w:t>Revisar expedientes históricos, comparar tiempos por fase, identificar cuellos de botella y elaborar el diagrama de Ishikawa.</w:t>
            </w:r>
          </w:p>
        </w:tc>
        <w:tc>
          <w:tcPr>
            <w:tcW w:w="1644" w:type="dxa"/>
            <w:shd w:val="clear" w:color="auto" w:fill="D9E1F2"/>
          </w:tcPr>
          <w:p>
            <w:pPr>
              <w:spacing w:before="60" w:after="60" w:line="240" w:lineRule="auto"/>
              <w:jc w:val="both"/>
            </w:pPr>
            <w:r>
              <w:rPr>
                <w:rFonts w:ascii="Times New Roman" w:hAnsi="Times New Roman"/>
                <w:b w:val="0"/>
                <w:color w:val="000000"/>
                <w:sz w:val="20"/>
              </w:rPr>
              <w:t>Análisis documental, análisis de tiempos y diagrama causa-efecto.</w:t>
            </w:r>
          </w:p>
        </w:tc>
        <w:tc>
          <w:tcPr>
            <w:tcW w:w="1695" w:type="dxa"/>
            <w:shd w:val="clear" w:color="auto" w:fill="D9E1F2"/>
          </w:tcPr>
          <w:p>
            <w:pPr>
              <w:spacing w:before="60" w:after="60" w:line="240" w:lineRule="auto"/>
              <w:jc w:val="both"/>
            </w:pPr>
            <w:r>
              <w:rPr>
                <w:rFonts w:ascii="Times New Roman" w:hAnsi="Times New Roman"/>
                <w:b w:val="0"/>
                <w:color w:val="000000"/>
                <w:sz w:val="20"/>
              </w:rPr>
              <w:t>Hojas de registro, expedientes históricos, hoja de cálculo y matriz de causas.</w:t>
            </w:r>
          </w:p>
        </w:tc>
      </w:tr>
      <w:tr>
        <w:tc>
          <w:tcPr>
            <w:tcW w:w="1644" w:type="dxa"/>
            <w:shd w:val="clear" w:color="auto" w:fill="FFFFFF"/>
          </w:tcPr>
          <w:p>
            <w:pPr>
              <w:spacing w:before="60" w:after="60" w:line="240" w:lineRule="auto"/>
              <w:jc w:val="both"/>
            </w:pPr>
            <w:r>
              <w:rPr>
                <w:rFonts w:ascii="Times New Roman" w:hAnsi="Times New Roman"/>
                <w:b w:val="0"/>
                <w:color w:val="000000"/>
                <w:sz w:val="20"/>
              </w:rPr>
              <w:t>Formular una propuesta de simplificación administrativa del proceso de procura que integre un flujo definido, responsables, formatos estandarizados, criterios de autorización y mecanismos de seguimiento.</w:t>
            </w:r>
          </w:p>
        </w:tc>
        <w:tc>
          <w:tcPr>
            <w:tcW w:w="1644" w:type="dxa"/>
            <w:shd w:val="clear" w:color="auto" w:fill="FFFFFF"/>
          </w:tcPr>
          <w:p>
            <w:pPr>
              <w:spacing w:before="60" w:after="60" w:line="240" w:lineRule="auto"/>
              <w:jc w:val="both"/>
            </w:pPr>
            <w:r>
              <w:rPr>
                <w:rFonts w:ascii="Times New Roman" w:hAnsi="Times New Roman"/>
                <w:b w:val="0"/>
                <w:color w:val="000000"/>
                <w:sz w:val="20"/>
              </w:rPr>
              <w:t>Propuesta de simplificación administrativa de la procura.</w:t>
            </w:r>
          </w:p>
        </w:tc>
        <w:tc>
          <w:tcPr>
            <w:tcW w:w="1644" w:type="dxa"/>
            <w:shd w:val="clear" w:color="auto" w:fill="FFFFFF"/>
          </w:tcPr>
          <w:p>
            <w:pPr>
              <w:spacing w:before="60" w:after="60" w:line="240" w:lineRule="auto"/>
              <w:jc w:val="both"/>
            </w:pPr>
            <w:r>
              <w:rPr>
                <w:rFonts w:ascii="Times New Roman" w:hAnsi="Times New Roman"/>
                <w:b w:val="0"/>
                <w:color w:val="000000"/>
                <w:sz w:val="20"/>
              </w:rPr>
              <w:t>Diseñar el flujo simplificado, formatos de solicitud y orden de compra, matriz de autorización por monto e indicadores básicos de seguimiento; validar la propuesta con el tutor industrial.</w:t>
            </w:r>
          </w:p>
        </w:tc>
        <w:tc>
          <w:tcPr>
            <w:tcW w:w="1644" w:type="dxa"/>
            <w:shd w:val="clear" w:color="auto" w:fill="FFFFFF"/>
          </w:tcPr>
          <w:p>
            <w:pPr>
              <w:spacing w:before="60" w:after="60" w:line="240" w:lineRule="auto"/>
              <w:jc w:val="both"/>
            </w:pPr>
            <w:r>
              <w:rPr>
                <w:rFonts w:ascii="Times New Roman" w:hAnsi="Times New Roman"/>
                <w:b w:val="0"/>
                <w:color w:val="000000"/>
                <w:sz w:val="20"/>
              </w:rPr>
              <w:t>Diseño procedimental, estandarización de formatos y validación técnica.</w:t>
            </w:r>
          </w:p>
        </w:tc>
        <w:tc>
          <w:tcPr>
            <w:tcW w:w="1695" w:type="dxa"/>
            <w:shd w:val="clear" w:color="auto" w:fill="FFFFFF"/>
          </w:tcPr>
          <w:p>
            <w:pPr>
              <w:spacing w:before="60" w:after="60" w:line="240" w:lineRule="auto"/>
              <w:jc w:val="both"/>
            </w:pPr>
            <w:r>
              <w:rPr>
                <w:rFonts w:ascii="Times New Roman" w:hAnsi="Times New Roman"/>
                <w:b w:val="0"/>
                <w:color w:val="000000"/>
                <w:sz w:val="20"/>
              </w:rPr>
              <w:t>Procesador de textos, hoja de cálculo, herramientas de diagramación y formato de validación.</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distribuye las actividades operativas y de análisis durante las diez (10) semanas de pasantía, manteniendo correspondencia con los objetivos específicos:</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 la pasantía.</w:t>
      </w:r>
      <w:bookmarkEnd w:id="bm_cuadro2"/>
    </w:p>
    <w:tbl>
      <w:tblPr>
        <w:tblStyle w:val="TableGrid"/>
        <w:tblW w:type="auto" w:w="0"/>
        <w:tblLook w:firstColumn="1" w:firstRow="1" w:lastColumn="0" w:lastRow="0" w:noHBand="0" w:noVBand="1" w:val="04A0"/>
        <w:tblLayout w:type="fixed"/>
      </w:tblPr>
      <w:tblGrid>
        <w:gridCol w:w="2683"/>
        <w:gridCol w:w="556"/>
        <w:gridCol w:w="556"/>
        <w:gridCol w:w="556"/>
        <w:gridCol w:w="556"/>
        <w:gridCol w:w="556"/>
        <w:gridCol w:w="556"/>
        <w:gridCol w:w="556"/>
        <w:gridCol w:w="556"/>
        <w:gridCol w:w="567"/>
        <w:gridCol w:w="567"/>
      </w:tblGrid>
      <w:tr>
        <w:tc>
          <w:tcPr>
            <w:tcW w:w="2683" w:type="dxa"/>
            <w:shd w:val="clear" w:color="auto" w:fill="4472C4"/>
          </w:tcPr>
          <w:p>
            <w:pPr>
              <w:spacing w:before="60" w:after="60" w:line="240" w:lineRule="auto"/>
              <w:jc w:val="center"/>
            </w:pPr>
            <w:r>
              <w:rPr>
                <w:rFonts w:ascii="Times New Roman" w:hAnsi="Times New Roman"/>
                <w:b/>
                <w:color w:val="FFFFFF"/>
                <w:sz w:val="20"/>
              </w:rPr>
              <w:t>Semana</w:t>
            </w:r>
          </w:p>
        </w:tc>
        <w:tc>
          <w:tcPr>
            <w:tcW w:w="2224"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224"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134" w:type="dxa"/>
            <w:gridSpan w:val="2"/>
            <w:shd w:val="clear" w:color="auto" w:fill="4472C4"/>
          </w:tcPr>
          <w:p>
            <w:pPr>
              <w:spacing w:before="60" w:after="60" w:line="240" w:lineRule="auto"/>
              <w:jc w:val="center"/>
            </w:pPr>
            <w:r>
              <w:rPr>
                <w:rFonts w:ascii="Times New Roman" w:hAnsi="Times New Roman"/>
                <w:b/>
                <w:color w:val="FFFFFF"/>
                <w:sz w:val="20"/>
              </w:rPr>
              <w:t>AGOSTO</w:t>
            </w:r>
          </w:p>
        </w:tc>
      </w:tr>
      <w:tr>
        <w:tc>
          <w:tcPr>
            <w:tcW w:w="2683" w:type="dxa"/>
            <w:shd w:val="clear" w:color="auto" w:fill="4472C4"/>
          </w:tcPr>
          <w:p>
            <w:pPr>
              <w:spacing w:before="60" w:after="60" w:line="240" w:lineRule="auto"/>
              <w:jc w:val="center"/>
            </w:pPr>
            <w:r>
              <w:rPr>
                <w:rFonts w:ascii="Times New Roman" w:hAnsi="Times New Roman"/>
                <w:b/>
                <w:color w:val="FFFFFF"/>
                <w:sz w:val="20"/>
              </w:rPr>
              <w:t>Actividad</w:t>
            </w:r>
          </w:p>
        </w:tc>
        <w:tc>
          <w:tcPr>
            <w:tcW w:w="556" w:type="dxa"/>
            <w:shd w:val="clear" w:color="auto" w:fill="4472C4"/>
          </w:tcPr>
          <w:p>
            <w:pPr>
              <w:spacing w:before="60" w:after="60" w:line="240" w:lineRule="auto"/>
              <w:jc w:val="center"/>
            </w:pPr>
            <w:r>
              <w:rPr>
                <w:rFonts w:ascii="Times New Roman" w:hAnsi="Times New Roman"/>
                <w:b/>
                <w:color w:val="FFFFFF"/>
                <w:sz w:val="20"/>
              </w:rPr>
              <w:t>1</w:t>
            </w:r>
          </w:p>
        </w:tc>
        <w:tc>
          <w:tcPr>
            <w:tcW w:w="556" w:type="dxa"/>
            <w:shd w:val="clear" w:color="auto" w:fill="4472C4"/>
          </w:tcPr>
          <w:p>
            <w:pPr>
              <w:spacing w:before="60" w:after="60" w:line="240" w:lineRule="auto"/>
              <w:jc w:val="center"/>
            </w:pPr>
            <w:r>
              <w:rPr>
                <w:rFonts w:ascii="Times New Roman" w:hAnsi="Times New Roman"/>
                <w:b/>
                <w:color w:val="FFFFFF"/>
                <w:sz w:val="20"/>
              </w:rPr>
              <w:t>2</w:t>
            </w:r>
          </w:p>
        </w:tc>
        <w:tc>
          <w:tcPr>
            <w:tcW w:w="556" w:type="dxa"/>
            <w:shd w:val="clear" w:color="auto" w:fill="4472C4"/>
          </w:tcPr>
          <w:p>
            <w:pPr>
              <w:spacing w:before="60" w:after="60" w:line="240" w:lineRule="auto"/>
              <w:jc w:val="center"/>
            </w:pPr>
            <w:r>
              <w:rPr>
                <w:rFonts w:ascii="Times New Roman" w:hAnsi="Times New Roman"/>
                <w:b/>
                <w:color w:val="FFFFFF"/>
                <w:sz w:val="20"/>
              </w:rPr>
              <w:t>3</w:t>
            </w:r>
          </w:p>
        </w:tc>
        <w:tc>
          <w:tcPr>
            <w:tcW w:w="556" w:type="dxa"/>
            <w:shd w:val="clear" w:color="auto" w:fill="4472C4"/>
          </w:tcPr>
          <w:p>
            <w:pPr>
              <w:spacing w:before="60" w:after="60" w:line="240" w:lineRule="auto"/>
              <w:jc w:val="center"/>
            </w:pPr>
            <w:r>
              <w:rPr>
                <w:rFonts w:ascii="Times New Roman" w:hAnsi="Times New Roman"/>
                <w:b/>
                <w:color w:val="FFFFFF"/>
                <w:sz w:val="20"/>
              </w:rPr>
              <w:t>4</w:t>
            </w:r>
          </w:p>
        </w:tc>
        <w:tc>
          <w:tcPr>
            <w:tcW w:w="556" w:type="dxa"/>
            <w:shd w:val="clear" w:color="auto" w:fill="4472C4"/>
          </w:tcPr>
          <w:p>
            <w:pPr>
              <w:spacing w:before="60" w:after="60" w:line="240" w:lineRule="auto"/>
              <w:jc w:val="center"/>
            </w:pPr>
            <w:r>
              <w:rPr>
                <w:rFonts w:ascii="Times New Roman" w:hAnsi="Times New Roman"/>
                <w:b/>
                <w:color w:val="FFFFFF"/>
                <w:sz w:val="20"/>
              </w:rPr>
              <w:t>1</w:t>
            </w:r>
          </w:p>
        </w:tc>
        <w:tc>
          <w:tcPr>
            <w:tcW w:w="556" w:type="dxa"/>
            <w:shd w:val="clear" w:color="auto" w:fill="4472C4"/>
          </w:tcPr>
          <w:p>
            <w:pPr>
              <w:spacing w:before="60" w:after="60" w:line="240" w:lineRule="auto"/>
              <w:jc w:val="center"/>
            </w:pPr>
            <w:r>
              <w:rPr>
                <w:rFonts w:ascii="Times New Roman" w:hAnsi="Times New Roman"/>
                <w:b/>
                <w:color w:val="FFFFFF"/>
                <w:sz w:val="20"/>
              </w:rPr>
              <w:t>2</w:t>
            </w:r>
          </w:p>
        </w:tc>
        <w:tc>
          <w:tcPr>
            <w:tcW w:w="556" w:type="dxa"/>
            <w:shd w:val="clear" w:color="auto" w:fill="4472C4"/>
          </w:tcPr>
          <w:p>
            <w:pPr>
              <w:spacing w:before="60" w:after="60" w:line="240" w:lineRule="auto"/>
              <w:jc w:val="center"/>
            </w:pPr>
            <w:r>
              <w:rPr>
                <w:rFonts w:ascii="Times New Roman" w:hAnsi="Times New Roman"/>
                <w:b/>
                <w:color w:val="FFFFFF"/>
                <w:sz w:val="20"/>
              </w:rPr>
              <w:t>3</w:t>
            </w:r>
          </w:p>
        </w:tc>
        <w:tc>
          <w:tcPr>
            <w:tcW w:w="556" w:type="dxa"/>
            <w:shd w:val="clear" w:color="auto" w:fill="4472C4"/>
          </w:tcPr>
          <w:p>
            <w:pPr>
              <w:spacing w:before="60" w:after="60" w:line="240" w:lineRule="auto"/>
              <w:jc w:val="center"/>
            </w:pPr>
            <w:r>
              <w:rPr>
                <w:rFonts w:ascii="Times New Roman" w:hAnsi="Times New Roman"/>
                <w:b/>
                <w:color w:val="FFFFFF"/>
                <w:sz w:val="20"/>
              </w:rPr>
              <w:t>4</w:t>
            </w:r>
          </w:p>
        </w:tc>
        <w:tc>
          <w:tcPr>
            <w:tcW w:w="567" w:type="dxa"/>
            <w:shd w:val="clear" w:color="auto" w:fill="4472C4"/>
          </w:tcPr>
          <w:p>
            <w:pPr>
              <w:spacing w:before="60" w:after="60" w:line="240" w:lineRule="auto"/>
              <w:jc w:val="center"/>
            </w:pPr>
            <w:r>
              <w:rPr>
                <w:rFonts w:ascii="Times New Roman" w:hAnsi="Times New Roman"/>
                <w:b/>
                <w:color w:val="FFFFFF"/>
                <w:sz w:val="20"/>
              </w:rPr>
              <w:t>1</w:t>
            </w:r>
          </w:p>
        </w:tc>
        <w:tc>
          <w:tcPr>
            <w:tcW w:w="567" w:type="dxa"/>
            <w:shd w:val="clear" w:color="auto" w:fill="4472C4"/>
          </w:tcPr>
          <w:p>
            <w:pPr>
              <w:spacing w:before="60" w:after="60" w:line="240" w:lineRule="auto"/>
              <w:jc w:val="center"/>
            </w:pPr>
            <w:r>
              <w:rPr>
                <w:rFonts w:ascii="Times New Roman" w:hAnsi="Times New Roman"/>
                <w:b/>
                <w:color w:val="FFFFFF"/>
                <w:sz w:val="20"/>
              </w:rPr>
              <w:t>2</w:t>
            </w:r>
          </w:p>
        </w:tc>
      </w:tr>
      <w:tr>
        <w:tc>
          <w:tcPr>
            <w:tcW w:w="2683" w:type="dxa"/>
            <w:shd w:val="clear" w:color="auto" w:fill="D9E1F2"/>
          </w:tcPr>
          <w:p>
            <w:pPr>
              <w:spacing w:before="60" w:after="60" w:line="240" w:lineRule="auto"/>
              <w:jc w:val="both"/>
            </w:pPr>
            <w:r>
              <w:rPr>
                <w:rFonts w:ascii="Times New Roman" w:hAnsi="Times New Roman"/>
                <w:b w:val="0"/>
                <w:color w:val="000000"/>
                <w:sz w:val="20"/>
              </w:rPr>
              <w:t>Inducción y reconocimiento del Departamento Administrativo y del área de procura.</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Levantamiento del flujo actual de requisiciones y compras.</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Aplicación de entrevista estructurada y revisión de expedientes de compras.</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Análisis de tiempos, cuellos de botella y elaboración del diagrama de Ishikawa.</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Diseño del flujo simplificado y definición de responsables y puntos de control.</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Diseño de formatos, matriz de autorización por monto e indicadores de seguimiento.</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Redacción de la propuesta de simplificación administrativa.</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67"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Validación de la propuesta e incorporación de observaciones.</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67" w:type="dxa"/>
            <w:shd w:val="clear" w:color="auto" w:fill="70AD47"/>
          </w:tcPr>
          <w:p>
            <w:pPr>
              <w:spacing w:before="60" w:after="60" w:line="240" w:lineRule="auto"/>
              <w:jc w:val="center"/>
            </w:pPr>
            <w:r>
              <w:rPr>
                <w:rFonts w:ascii="Times New Roman" w:hAnsi="Times New Roman"/>
                <w:b w:val="0"/>
                <w:color w:val="FFFFFF"/>
                <w:sz w:val="20"/>
              </w:rPr>
              <w:t>✓</w:t>
            </w:r>
          </w:p>
        </w:tc>
        <w:tc>
          <w:tcPr>
            <w:tcW w:w="567"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Presentación de la propuesta y consolidación del informe de pasantías.</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D9E1F2"/>
          </w:tcPr>
          <w:p>
            <w:pPr>
              <w:spacing w:before="60" w:after="60" w:line="240" w:lineRule="auto"/>
              <w:jc w:val="center"/>
            </w:pPr>
            <w:r>
              <w:rPr>
                <w:rFonts w:ascii="Times New Roman" w:hAnsi="Times New Roman"/>
                <w:b w:val="0"/>
                <w:color w:val="000000"/>
                <w:sz w:val="20"/>
              </w:rPr>
            </w:r>
          </w:p>
        </w:tc>
        <w:tc>
          <w:tcPr>
            <w:tcW w:w="567" w:type="dxa"/>
            <w:shd w:val="clear" w:color="auto" w:fill="70AD47"/>
          </w:tcPr>
          <w:p>
            <w:pPr>
              <w:spacing w:before="60" w:after="60" w:line="240" w:lineRule="auto"/>
              <w:jc w:val="center"/>
            </w:pPr>
            <w:r>
              <w:rPr>
                <w:rFonts w:ascii="Times New Roman" w:hAnsi="Times New Roman"/>
                <w:b w:val="0"/>
                <w:color w:val="FFFFFF"/>
                <w:sz w:val="20"/>
              </w:rPr>
              <w:t>✓</w:t>
            </w:r>
          </w:p>
        </w:tc>
      </w:tr>
      <w:tr>
        <w:tc>
          <w:tcPr>
            <w:tcW w:w="2683" w:type="dxa"/>
            <w:shd w:val="clear" w:color="auto" w:fill="FFFFFF"/>
          </w:tcPr>
          <w:p>
            <w:pPr>
              <w:spacing w:before="60" w:after="60" w:line="240" w:lineRule="auto"/>
              <w:jc w:val="both"/>
            </w:pPr>
            <w:r>
              <w:rPr>
                <w:rFonts w:ascii="Times New Roman" w:hAnsi="Times New Roman"/>
                <w:b w:val="0"/>
                <w:color w:val="000000"/>
                <w:sz w:val="20"/>
              </w:rPr>
              <w:t>Apoyo operativo en requisiciones, cotizaciones, proveedores y archivo de compras.</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67" w:type="dxa"/>
            <w:shd w:val="clear" w:color="auto" w:fill="70AD47"/>
          </w:tcPr>
          <w:p>
            <w:pPr>
              <w:spacing w:before="60" w:after="60" w:line="240" w:lineRule="auto"/>
              <w:jc w:val="center"/>
            </w:pPr>
            <w:r>
              <w:rPr>
                <w:rFonts w:ascii="Times New Roman" w:hAnsi="Times New Roman"/>
                <w:b w:val="0"/>
                <w:color w:val="FFFFFF"/>
                <w:sz w:val="20"/>
              </w:rPr>
              <w:t>✓</w:t>
            </w:r>
          </w:p>
        </w:tc>
        <w:tc>
          <w:tcPr>
            <w:tcW w:w="567" w:type="dxa"/>
            <w:shd w:val="clear" w:color="auto" w:fill="FFFFFF"/>
          </w:tcPr>
          <w:p>
            <w:pPr>
              <w:spacing w:before="60" w:after="60" w:line="240" w:lineRule="auto"/>
              <w:jc w:val="center"/>
            </w:pPr>
            <w:r>
              <w:rPr>
                <w:rFonts w:ascii="Times New Roman" w:hAnsi="Times New Roman"/>
                <w:b w:val="0"/>
                <w:color w:val="000000"/>
                <w:sz w:val="20"/>
              </w:rPr>
            </w:r>
          </w:p>
        </w:tc>
      </w:tr>
    </w:tbl>
    <w:p>
      <w:pPr>
        <w:sectPr>
          <w:footerReference w:type="default" r:id="rId48"/>
          <w:footerReference w:type="first" r:id="rId49"/>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50"/>
          <w:footerReference w:type="first" r:id="rId51"/>
          <w:pgSz w:w="12240" w:h="15840"/>
          <w:pgMar w:top="1701" w:right="1701" w:bottom="1701" w:left="2268" w:header="720" w:footer="720" w:gutter="0"/>
          <w:cols w:space="720"/>
          <w:titlePg/>
          <w:docGrid w:linePitch="360"/>
          <w:pgNumType w:fmt="decimal"/>
        </w:sectPr>
      </w:pPr>
    </w:p>
    <w:p>
      <w:bookmarkStart w:id="bm_cap3_bases" w:name="bm_cap3_bases"/>
      <w:pPr>
        <w:spacing w:before="480" w:after="480" w:line="360" w:lineRule="auto"/>
        <w:jc w:val="left"/>
      </w:pPr>
      <w:r>
        <w:rPr>
          <w:rFonts w:ascii="Times New Roman" w:hAnsi="Times New Roman"/>
          <w:b/>
          <w:sz w:val="24"/>
        </w:rPr>
        <w:t>Procura y Gestión de Compras</w:t>
      </w:r>
      <w:bookmarkEnd w:id="bm_cap3_bases"/>
    </w:p>
    <w:p>
      <w:pPr>
        <w:spacing w:line="360" w:lineRule="auto" w:after="0" w:before="0"/>
        <w:ind w:firstLine="709"/>
        <w:jc w:val="both"/>
      </w:pPr>
      <w:r>
        <w:rPr>
          <w:rFonts w:ascii="Times New Roman" w:hAnsi="Times New Roman"/>
          <w:i w:val="0"/>
          <w:sz w:val="24"/>
        </w:rPr>
        <w:t>La procura se define como el conjunto de actividades orientadas a la adquisición de bienes, materiales e insumos necesarios para el funcionamiento continuo de una organización. Monterroso (2002) establece que la gestión de abastecimiento eficiente no se limita a la ejecución de compras, sino que abarca la planificación de necesidades, la selección de proveedores, la negociación de condiciones y el control del cumplimiento de los requerimientos en tiempo, calidad y costo.</w:t>
      </w:r>
    </w:p>
    <w:p>
      <w:pPr>
        <w:spacing w:line="360" w:lineRule="auto" w:after="0" w:before="0"/>
        <w:ind w:firstLine="709"/>
        <w:jc w:val="both"/>
      </w:pPr>
      <w:r>
        <w:rPr>
          <w:rFonts w:ascii="Times New Roman" w:hAnsi="Times New Roman"/>
          <w:i w:val="0"/>
          <w:sz w:val="24"/>
        </w:rPr>
        <w:t>Lo anterior cobra especial relevancia en el contexto de Lubricantes y Equipos Varyna, C.A., donde la procura constituye una función crítica para sostener las operaciones industriales y de campo. Durante el diagnóstico realizado, se pudo constatar que el departamento administrativo no cuenta con un canal formalizado de recepción de requisiciones, lo que impide que el proceso de abastecimiento se desarrolle de forma planificada y controlada tal como lo exige la teoría. En criterio de quien suscribe, esta ausencia de estructura procedimental es la causa raíz de los retrasos identificados, por encima incluso de factores humanos o tecnológicos.</w:t>
      </w:r>
    </w:p>
    <w:p>
      <w:pPr>
        <w:spacing w:line="360" w:lineRule="auto" w:after="0" w:before="0"/>
        <w:ind w:firstLine="709"/>
        <w:jc w:val="both"/>
      </w:pPr>
      <w:r>
        <w:rPr>
          <w:rFonts w:ascii="Times New Roman" w:hAnsi="Times New Roman"/>
          <w:i w:val="0"/>
          <w:sz w:val="24"/>
        </w:rPr>
        <w:t>Comprender la procura desde esta perspectiva teórica es el punto de partida indispensable para cualquier propuesta de mejora, pues permite identificar con precisión en cuáles fases del ciclo se concentran las ineficiencias. Para ello, resulta igualmente necesario examinar el marco administrativo general que debe regir la gestión de cualquier proceso organizacional, tal como se desarrolla en el apartado siguiente.</w:t>
      </w:r>
    </w:p>
    <w:p>
      <w:pPr>
        <w:spacing w:line="240" w:lineRule="auto" w:before="720" w:after="240"/>
        <w:ind w:left="709" w:right="709"/>
        <w:jc w:val="both"/>
      </w:pPr>
      <w:r>
        <w:rPr>
          <w:rFonts w:ascii="Times New Roman" w:hAnsi="Times New Roman"/>
          <w:sz w:val="24"/>
        </w:rPr>
        <w:t>La gestión de compras y abastecimiento comprende un conjunto de actividades que permiten identificar las necesidades de materiales e insumos de la organización, seleccionar adecuadamente a los proveedores, negociar las condiciones de adquisición más convenientes y asegurar que los bienes requeridos lleguen en las cantidades correctas, en el momento oportuno y al menor costo posible, contribuyendo directamente a la eficiencia operativa de la empresa.</w:t>
      </w:r>
      <w:r>
        <w:rPr>
          <w:rFonts w:ascii="Times New Roman" w:hAnsi="Times New Roman"/>
          <w:sz w:val="24"/>
        </w:rPr>
        <w:t xml:space="preserve"> (Monterroso, 2002, p. 3)</w:t>
      </w:r>
    </w:p>
    <w:p>
      <w:pPr>
        <w:spacing w:before="480" w:after="480" w:line="360" w:lineRule="auto"/>
        <w:jc w:val="left"/>
      </w:pPr>
      <w:r>
        <w:rPr>
          <w:rFonts w:ascii="Times New Roman" w:hAnsi="Times New Roman"/>
          <w:b/>
          <w:sz w:val="24"/>
        </w:rPr>
        <w:t>Proceso Administrativo</w:t>
      </w:r>
    </w:p>
    <w:p>
      <w:pPr>
        <w:spacing w:line="360" w:lineRule="auto" w:after="0" w:before="0"/>
        <w:ind w:firstLine="709"/>
        <w:jc w:val="both"/>
      </w:pPr>
      <w:r>
        <w:rPr>
          <w:rFonts w:ascii="Times New Roman" w:hAnsi="Times New Roman"/>
          <w:i w:val="0"/>
          <w:sz w:val="24"/>
        </w:rPr>
        <w:t>El proceso administrativo constituye el marco conceptual fundamental que rige el funcionamiento de las organizaciones modernas. Chiavenato (2006) lo describe como el conjunto secuencial e interrelacionado de funciones de planificación, organización, dirección y control, orientadas al logro eficiente de los objetivos organizacionales mediante el uso racional de los recursos disponibles.</w:t>
      </w:r>
    </w:p>
    <w:p>
      <w:pPr>
        <w:spacing w:line="360" w:lineRule="auto" w:after="0" w:before="0"/>
        <w:ind w:firstLine="709"/>
        <w:jc w:val="both"/>
      </w:pPr>
      <w:r>
        <w:rPr>
          <w:rFonts w:ascii="Times New Roman" w:hAnsi="Times New Roman"/>
          <w:i w:val="0"/>
          <w:sz w:val="24"/>
        </w:rPr>
        <w:t>Aplicado al contexto de la procura, el proceso administrativo provee la estructura metodológica necesaria para formalizar cada etapa del ciclo de compras. La planificación define las necesidades y tiempos de adquisición; la organización asigna responsabilidades claras a cada actor del proceso; la dirección asegura la ejecución coordinada de las actividades; y el control verifica el cumplimiento de los procedimientos y detecta desviaciones que requieren corrección.</w:t>
      </w:r>
    </w:p>
    <w:p>
      <w:pPr>
        <w:spacing w:line="360" w:lineRule="auto" w:after="0" w:before="0"/>
        <w:ind w:firstLine="709"/>
        <w:jc w:val="both"/>
      </w:pPr>
      <w:r>
        <w:rPr>
          <w:rFonts w:ascii="Times New Roman" w:hAnsi="Times New Roman"/>
          <w:i w:val="0"/>
          <w:sz w:val="24"/>
        </w:rPr>
        <w:t>Durante la observación directa realizada en Lubricantes y Equipos Varyna, C.A., se evidenció que ninguna de estas cuatro funciones se ejecuta de manera formal dentro del ciclo de compras. Las requisiciones se reciben sin planificación previa, las responsabilidades no están escritas ni asignadas con claridad, y no existe un mecanismo de control que permita detectar en qué fase se detiene cada expediente. Desde la perspectiva de quien elabora este trabajo, la ausencia del proceso administrativo como eje rector es lo que convierte un procedimiento que debería ser simple en una secuencia compleja y propensa a errores. La propuesta de simplificación desarrollada en los capítulos siguientes busca precisamente instaurar estas cuatro funciones de forma explícita dentro del nuevo flujo de procura. Para que dicho control sea efectivo, es necesario además comprender los mecanismos de control interno aplicables específicamente al área de compras, como se expone a continuación.</w:t>
      </w:r>
    </w:p>
    <w:p>
      <w:pPr>
        <w:spacing w:before="480" w:after="480" w:line="360" w:lineRule="auto"/>
        <w:jc w:val="left"/>
      </w:pPr>
      <w:r>
        <w:rPr>
          <w:rFonts w:ascii="Times New Roman" w:hAnsi="Times New Roman"/>
          <w:b/>
          <w:sz w:val="24"/>
        </w:rPr>
        <w:t>Control Interno en los Procesos de Compras</w:t>
      </w:r>
    </w:p>
    <w:p>
      <w:pPr>
        <w:spacing w:line="360" w:lineRule="auto" w:after="0" w:before="0"/>
        <w:ind w:firstLine="709"/>
        <w:jc w:val="both"/>
      </w:pPr>
      <w:r>
        <w:rPr>
          <w:rFonts w:ascii="Times New Roman" w:hAnsi="Times New Roman"/>
          <w:i w:val="0"/>
          <w:sz w:val="24"/>
        </w:rPr>
        <w:t>El control interno se define como el proceso diseñado e implementado por la dirección de una organización para proporcionar una seguridad razonable sobre la consecución de los objetivos en las categorías de eficiencia operativa, confiabilidad de la información financiera y cumplimiento de las normas aplicables. Mantilla (2005) señala que un sistema de control interno robusto en el área de compras minimiza los riesgos de fraude, duplicidad de pagos y adquisiciones no autorizadas.</w:t>
      </w:r>
    </w:p>
    <w:p>
      <w:pPr>
        <w:spacing w:line="360" w:lineRule="auto" w:after="0" w:before="0"/>
        <w:ind w:firstLine="709"/>
        <w:jc w:val="both"/>
      </w:pPr>
      <w:r>
        <w:rPr>
          <w:rFonts w:ascii="Times New Roman" w:hAnsi="Times New Roman"/>
          <w:i w:val="0"/>
          <w:sz w:val="24"/>
        </w:rPr>
        <w:t>En el proceso de procura de Lubricantes y Equipos Varyna, C.A., el fortalecimiento del control interno implica la definición de niveles de autorización por monto de compra, la implementación de formularios estandarizados de solicitud y la trazabilidad documental de cada expediente desde la requisición hasta la orden de compra cerrada. Estas medidas reducen la discrecionalidad en las decisiones de adquisición y aumentan la transparencia del proceso.</w:t>
      </w:r>
    </w:p>
    <w:p>
      <w:pPr>
        <w:spacing w:line="360" w:lineRule="auto" w:after="0" w:before="0"/>
        <w:ind w:firstLine="709"/>
        <w:jc w:val="both"/>
      </w:pPr>
      <w:r>
        <w:rPr>
          <w:rFonts w:ascii="Times New Roman" w:hAnsi="Times New Roman"/>
          <w:i w:val="0"/>
          <w:sz w:val="24"/>
        </w:rPr>
        <w:t>A juicio de quien suscribe, el control interno no debe entenderse como una carga burocrática adicional, sino como la garantía de que cada paso del proceso de compras tiene un propósito definido y un responsable identificable. En Lubricantes y Equipos Varyna, C.A., la inexistencia de niveles de autorización formales ha generado que decisiones de adquisición recaigan de manera discrecional sobre el personal disponible en el momento, sin criterios objetivos ni registros verificables. Incorporar mecanismos de control interno dentro del nuevo procedimiento simplificado no agrega complejidad al proceso, sino que le otorga la transparencia y trazabilidad que actualmente le faltan. Este enfoque de control se articula directamente con la noción de simplificación administrativa que fundamenta la propuesta, concepto que se desarrolla en el siguiente apartado.</w:t>
      </w:r>
    </w:p>
    <w:p>
      <w:pPr>
        <w:spacing w:before="480" w:after="480" w:line="360" w:lineRule="auto"/>
        <w:jc w:val="left"/>
      </w:pPr>
      <w:r>
        <w:rPr>
          <w:rFonts w:ascii="Times New Roman" w:hAnsi="Times New Roman"/>
          <w:b/>
          <w:sz w:val="24"/>
        </w:rPr>
        <w:t>Simplificación Administrativa de Procesos</w:t>
      </w:r>
    </w:p>
    <w:p>
      <w:pPr>
        <w:spacing w:line="360" w:lineRule="auto" w:after="0" w:before="0"/>
        <w:ind w:firstLine="709"/>
        <w:jc w:val="both"/>
      </w:pPr>
      <w:r>
        <w:rPr>
          <w:rFonts w:ascii="Times New Roman" w:hAnsi="Times New Roman"/>
          <w:i w:val="0"/>
          <w:sz w:val="24"/>
        </w:rPr>
        <w:t>La simplificación administrativa consiste en la revisión sistemática y el rediseño de los procedimientos organizacionales con el propósito de eliminar pasos innecesarios, reducir la burocracia interna y facilitar la ejecución ágil de las operaciones. Según Harrington (1993), un proceso simplificado debe ser comprensible para todos los actores involucrados, ejecutable con el menor número de pasos posible y orientado a resultados medibles y verificables.</w:t>
      </w:r>
    </w:p>
    <w:p>
      <w:pPr>
        <w:spacing w:line="360" w:lineRule="auto" w:after="0" w:before="0"/>
        <w:ind w:firstLine="709"/>
        <w:jc w:val="both"/>
      </w:pPr>
      <w:r>
        <w:rPr>
          <w:rFonts w:ascii="Times New Roman" w:hAnsi="Times New Roman"/>
          <w:i w:val="0"/>
          <w:sz w:val="24"/>
        </w:rPr>
        <w:t>En el ámbito de la administración de compras, la simplificación procedimental se traduce en la reducción de los ciclos de aprobación, la unificación de los formatos de cotización y la clarificación de los roles y responsabilidades de cada actor. El resultado esperado es una disminución verificable de los tiempos de respuesta en la adquisición de insumos y una mayor capacidad de la organización para atender sus necesidades de abastecimiento de forma oportuna y transparente.</w:t>
      </w:r>
    </w:p>
    <w:p>
      <w:pPr>
        <w:spacing w:line="360" w:lineRule="auto" w:after="0" w:before="0"/>
        <w:ind w:firstLine="709"/>
        <w:jc w:val="both"/>
      </w:pPr>
      <w:r>
        <w:rPr>
          <w:rFonts w:ascii="Times New Roman" w:hAnsi="Times New Roman"/>
          <w:i w:val="0"/>
          <w:sz w:val="24"/>
        </w:rPr>
        <w:t>Esta definición describe con precisión la situación identificada en Lubricantes y Equipos Varyna, C.A.: un proceso que ha crecido en pasos y actores sin que todos esos añadidos respondan a una secuencia formalmente definida. Quien elabora este trabajo considera que la simplificación no implica eliminar controles, sino reducir redundancias y clarificar responsabilidades. La propuesta formulada durante las pasantías parte de este principio y organiza los pasos necesarios para que una requisición avance de manera comprensible desde su recepción hasta el cierre de la orden de compra, manteniendo responsables, criterios de autorización y mecanismos de seguimiento que favorezcan el control administrativo del proceso.</w:t>
      </w:r>
    </w:p>
    <w:p>
      <w:pPr>
        <w:spacing w:before="480" w:after="480" w:line="360" w:lineRule="auto"/>
        <w:jc w:val="left"/>
      </w:pPr>
      <w:r>
        <w:rPr>
          <w:rFonts w:ascii="Times New Roman" w:hAnsi="Times New Roman"/>
          <w:b/>
          <w:sz w:val="24"/>
        </w:rPr>
        <w:t>Base Legal: Constitución de la República Bolivariana de Venezuela — Artículo 112</w:t>
      </w:r>
    </w:p>
    <w:p>
      <w:pPr>
        <w:spacing w:line="360" w:lineRule="auto" w:after="0" w:before="0"/>
        <w:ind w:firstLine="709"/>
        <w:jc w:val="both"/>
      </w:pPr>
      <w:r>
        <w:rPr>
          <w:rFonts w:ascii="Times New Roman" w:hAnsi="Times New Roman"/>
          <w:i w:val="0"/>
          <w:sz w:val="24"/>
        </w:rPr>
        <w:t>Como marco general de la actividad económica privada, la Constitución reconoce la iniciativa empresarial dentro de los límites establecidos por el ordenamiento jurídico.</w:t>
      </w:r>
    </w:p>
    <w:p>
      <w:pPr>
        <w:spacing w:line="240" w:lineRule="auto" w:before="720" w:after="240"/>
        <w:ind w:left="709" w:right="709"/>
        <w:jc w:val="both"/>
      </w:pPr>
      <w:r>
        <w:rPr>
          <w:rFonts w:ascii="Times New Roman" w:hAnsi="Times New Roman"/>
          <w:sz w:val="24"/>
        </w:rPr>
        <w:t>Todas las personas pueden dedicarse libremente a la actividad económica de su preferencia, sin más limitaciones que las previstas en esta Constitución y las que establezcan las 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w:t>
      </w:r>
      <w:r>
        <w:rPr>
          <w:rFonts w:ascii="Times New Roman" w:hAnsi="Times New Roman"/>
          <w:sz w:val="24"/>
        </w:rPr>
        <w:t xml:space="preserve"> (Constitución de la República Bolivariana de Venezuela, 1999, art. 112)</w:t>
      </w:r>
    </w:p>
    <w:p>
      <w:pPr>
        <w:spacing w:line="360" w:lineRule="auto" w:after="0" w:before="0"/>
        <w:ind w:firstLine="709"/>
        <w:jc w:val="both"/>
      </w:pPr>
      <w:r>
        <w:rPr>
          <w:rFonts w:ascii="Times New Roman" w:hAnsi="Times New Roman"/>
          <w:i w:val="0"/>
          <w:sz w:val="24"/>
        </w:rPr>
        <w:t>El aporte de este artículo al informe es de carácter general: reconoce el ejercicio de la actividad empresarial y permite ubicar la propuesta dentro de la necesidad de organizar racionalmente los procesos internos de una empresa privada. No establece un procedimiento específico de procura, por lo que su función es servir como fundamento constitucional amplio y no como regla operativa de compras.</w:t>
      </w:r>
    </w:p>
    <w:p>
      <w:pPr>
        <w:spacing w:before="480" w:after="480" w:line="360" w:lineRule="auto"/>
        <w:jc w:val="left"/>
      </w:pPr>
      <w:r>
        <w:rPr>
          <w:rFonts w:ascii="Times New Roman" w:hAnsi="Times New Roman"/>
          <w:b/>
          <w:sz w:val="24"/>
        </w:rPr>
        <w:t>Base Legal: Código de Comercio — Artículo 32</w:t>
      </w:r>
    </w:p>
    <w:p>
      <w:pPr>
        <w:spacing w:line="360" w:lineRule="auto" w:after="0" w:before="0"/>
        <w:ind w:firstLine="709"/>
        <w:jc w:val="both"/>
      </w:pPr>
      <w:r>
        <w:rPr>
          <w:rFonts w:ascii="Times New Roman" w:hAnsi="Times New Roman"/>
          <w:i w:val="0"/>
          <w:sz w:val="24"/>
        </w:rPr>
        <w:t>El Código de Comercio establece obligaciones vinculadas con el orden y claridad de los registros de los comerciantes, aspecto que guarda relación con la necesidad de mantener información organizada y verificable en los procesos administrativos.</w:t>
      </w:r>
    </w:p>
    <w:p>
      <w:pPr>
        <w:spacing w:line="240" w:lineRule="auto" w:before="720" w:after="240"/>
        <w:ind w:left="709" w:right="709"/>
        <w:jc w:val="both"/>
      </w:pPr>
      <w:r>
        <w:rPr>
          <w:rFonts w:ascii="Times New Roman" w:hAnsi="Times New Roman"/>
          <w:sz w:val="24"/>
        </w:rPr>
        <w:t>Todo comerciante debe llevar en idioma castellano su contabilidad, la cual comprenderá, obligatoriamente, el libro Diario, el libro Mayor y el de Inventarios. Podrá llevar, además, todos los libros auxiliares que estimara conveniente para el mayor orden y claridad de sus operaciones.</w:t>
      </w:r>
      <w:r>
        <w:rPr>
          <w:rFonts w:ascii="Times New Roman" w:hAnsi="Times New Roman"/>
          <w:sz w:val="24"/>
        </w:rPr>
        <w:t xml:space="preserve"> (Código de Comercio, 1955, art. 32)</w:t>
      </w:r>
    </w:p>
    <w:p>
      <w:pPr>
        <w:spacing w:line="360" w:lineRule="auto" w:after="0" w:before="0"/>
        <w:ind w:firstLine="709"/>
        <w:jc w:val="both"/>
      </w:pPr>
      <w:r>
        <w:rPr>
          <w:rFonts w:ascii="Times New Roman" w:hAnsi="Times New Roman"/>
          <w:i w:val="0"/>
          <w:sz w:val="24"/>
        </w:rPr>
        <w:t>La relación con la propuesta se encuentra en el principio de orden y claridad de las operaciones mercantiles. Los formatos y mecanismos de seguimiento diseñados para la procura no sustituyen los libros contables exigidos por la ley, pero complementan el control administrativo al organizar la documentación que antecede y acompaña las compras de la empresa.</w:t>
      </w:r>
    </w:p>
    <w:p>
      <w:pPr>
        <w:sectPr>
          <w:footerReference w:type="default" r:id="rId52"/>
          <w:footerReference w:type="first" r:id="rId53"/>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54"/>
          <w:footerReference w:type="first" r:id="rId55"/>
          <w:pgSz w:w="12240" w:h="15840"/>
          <w:pgMar w:top="1701" w:right="1701" w:bottom="1701" w:left="2268" w:header="720" w:footer="720" w:gutter="0"/>
          <w:cols w:space="720"/>
          <w:titlePg/>
          <w:docGrid w:linePitch="360"/>
          <w:pgNumType w:fmt="decimal"/>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diez (10) semanas de práctica profesional se desarrollaron actividades operativas de apoyo a la procura y actividades de diagnóstico, análisis y formulación de la propuesta de simplificación administrativa:</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presentación ante el equipo del Departamento Administrativo y familiarización con los procedimientos generales de la empresa y del área de procura.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del flujo de requisiciones y registro de las primeras situaciones relacionadas con la recepción, seguimiento y control de las solicitudes de compra.</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clasificación y registro de solicitudes de compra, además de la familiarización con los expedientes y mecanismos de seguimiento de cotizaciones del departamento.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Levantamiento del flujo secuencial del proceso de procura mediante observación directa y conversaciones de reconocimiento con el personal encargado.</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tramitación de requisiciones, comunicación con proveedores y actualización del registro de cotizaciones en proceso.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Aplicación de una guía de entrevista estructurada al personal relacionado con compras y administración para identificar demoras, duplicidades y dificultades de seguimiento.</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Seguimiento de órdenes de compra abiertas, verificación del estatus de cotizaciones pendientes y actualización del registro de proveedores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Revisión de expedientes históricos y análisis de tiempos de respuesta por fase con el propósito de determinar las etapas donde se concentran los mayores retrasos.</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Tramitación de solicitudes de compra, apoyo en cuadros comparativos de cotizaciones y actualización de información de proveedores.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Elaboración del diagrama de Ishikawa y jerarquización de las causas asociadas con retrasos, redundancias, falta de estandarización y dificultades de trazabilidad en la procura.</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Seguimiento de cotizaciones pendientes de aprobación y actualización de los expedientes de compras activos del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del nuevo flujo simplificado del proceso de procura, definiendo etapas, responsables, puntos de control y tiempos de referencia para el seguimiento administrativo.</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el procesamiento de requisiciones y verificación de información necesaria para compras en trámite.</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 los formatos estandarizados de solicitud de cotización y orden de compra, elaboración de la matriz de autorización por monto y definición de indicadores básicos para el seguimiento del proceso.</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Seguimiento de órdenes en proceso y actualización de registros de proveedores y expedientes de adquisiciones.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de la propuesta de simplificación administrativa integrando el flujo diseñado, los formatos, la matriz de autorización y los mecanismos de seguimiento.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el cierre administrativo del ciclo de compras y organización de las órdenes de compra gestionadas durante 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Presentación de la propuesta al tutor industrial, registro de observaciones e incorporación de ajustes al documento final.</w:t>
      </w:r>
    </w:p>
    <w:p>
      <w:pPr>
        <w:spacing w:before="480" w:after="480" w:line="360" w:lineRule="auto"/>
        <w:jc w:val="left"/>
      </w:pPr>
      <w:r>
        <w:rPr>
          <w:rFonts w:ascii="Times New Roman" w:hAnsi="Times New Roman"/>
          <w:b/>
          <w:sz w:val="24"/>
        </w:rPr>
        <w:t>Semana 10</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formal de la propuesta ante la gerencia del área y gestión de los recaudos institucionales correspondientes al cierre de las pasantías.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del informe de pasantías, revisión de la normativa de presentación e incorporación de los anexos y correcciones finales antes de la entrega institucional.</w:t>
      </w:r>
    </w:p>
    <w:p>
      <w:pPr>
        <w:sectPr>
          <w:footerReference w:type="default" r:id="rId56"/>
          <w:footerReference w:type="first" r:id="rId57"/>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V</w:t>
      </w:r>
    </w:p>
    <w:p>
      <w:bookmarkStart w:id="bm_cap5" w:name="bm_cap5"/>
      <w:pPr>
        <w:spacing w:before="480"/>
        <w:jc w:val="center"/>
      </w:pPr>
      <w:r>
        <w:rPr>
          <w:rFonts w:ascii="Times New Roman" w:hAnsi="Times New Roman"/>
          <w:b/>
          <w:sz w:val="24"/>
        </w:rPr>
        <w:t>CONCLUSIONES Y RECOMENDACIONES</w:t>
      </w:r>
      <w:bookmarkEnd w:id="bm_cap5"/>
    </w:p>
    <w:p>
      <w:pPr>
        <w:sectPr>
          <w:footerReference w:type="default" r:id="rId58"/>
          <w:footerReference w:type="first" r:id="rId59"/>
          <w:pgSz w:w="12240" w:h="15840"/>
          <w:pgMar w:top="1701" w:right="1701" w:bottom="1701" w:left="2268" w:header="720" w:footer="720" w:gutter="0"/>
          <w:cols w:space="720"/>
          <w:titlePg/>
          <w:docGrid w:linePitch="360"/>
          <w:pgNumType w:fmt="decimal"/>
        </w:sectPr>
      </w:pPr>
    </w:p>
    <w:p>
      <w:bookmarkStart w:id="bm_cap5_concl" w:name="bm_cap5_concl"/>
      <w:pPr>
        <w:spacing w:before="480" w:after="480" w:line="360" w:lineRule="auto"/>
        <w:jc w:val="left"/>
      </w:pPr>
      <w:r>
        <w:rPr>
          <w:rFonts w:ascii="Times New Roman" w:hAnsi="Times New Roman"/>
          <w:b/>
          <w:sz w:val="24"/>
        </w:rPr>
        <w:t>Conclusiones</w:t>
      </w:r>
      <w:bookmarkEnd w:id="bm_cap5_concl"/>
    </w:p>
    <w:p>
      <w:pPr>
        <w:spacing w:line="360" w:lineRule="auto"/>
        <w:ind w:firstLine="709"/>
        <w:jc w:val="both"/>
      </w:pPr>
      <w:r>
        <w:rPr>
          <w:rFonts w:ascii="Times New Roman" w:hAnsi="Times New Roman"/>
          <w:sz w:val="24"/>
        </w:rPr>
        <w:t xml:space="preserve">1. </w:t>
      </w:r>
      <w:r>
        <w:rPr>
          <w:rFonts w:ascii="Times New Roman" w:hAnsi="Times New Roman"/>
          <w:sz w:val="24"/>
        </w:rPr>
        <w:t>Se diagnosticó que el proceso de procura presenta un recorrido administrativo susceptible de simplificación, debido a la ausencia de un canal único de recepción de requisiciones y a la dispersión de algunos mecanismos de seguimiento utilizados durante las fases de compra.</w:t>
      </w:r>
    </w:p>
    <w:p>
      <w:pPr>
        <w:spacing w:line="360" w:lineRule="auto"/>
        <w:ind w:firstLine="709"/>
        <w:jc w:val="both"/>
      </w:pPr>
      <w:r>
        <w:rPr>
          <w:rFonts w:ascii="Times New Roman" w:hAnsi="Times New Roman"/>
          <w:sz w:val="24"/>
        </w:rPr>
        <w:t xml:space="preserve">2. </w:t>
      </w:r>
      <w:r>
        <w:rPr>
          <w:rFonts w:ascii="Times New Roman" w:hAnsi="Times New Roman"/>
          <w:sz w:val="24"/>
        </w:rPr>
        <w:t>Se identificaron como principales factores de demora la falta de formatos uniformes, la limitada definición de criterios de autorización, el seguimiento manual del estatus de cotizaciones y la inexistencia de indicadores sencillos que permitan valorar el comportamiento del ciclo de adquisición.</w:t>
      </w:r>
    </w:p>
    <w:p>
      <w:pPr>
        <w:spacing w:line="360" w:lineRule="auto"/>
        <w:ind w:firstLine="709"/>
        <w:jc w:val="both"/>
      </w:pPr>
      <w:r>
        <w:rPr>
          <w:rFonts w:ascii="Times New Roman" w:hAnsi="Times New Roman"/>
          <w:sz w:val="24"/>
        </w:rPr>
        <w:t xml:space="preserve">3. </w:t>
      </w:r>
      <w:r>
        <w:rPr>
          <w:rFonts w:ascii="Times New Roman" w:hAnsi="Times New Roman"/>
          <w:sz w:val="24"/>
        </w:rPr>
        <w:t>Se formuló una propuesta de simplificación administrativa que integra un flujo de trabajo con responsables definidos, formatos estandarizados, una matriz de autorización por monto e indicadores de seguimiento, orientados a mejorar la trazabilidad y facilitar el control interno del proceso de procura.</w:t>
      </w:r>
    </w:p>
    <w:p>
      <w:bookmarkStart w:id="bm_cap5_recom" w:name="bm_cap5_recom"/>
      <w:pPr>
        <w:spacing w:before="480" w:after="480" w:line="360" w:lineRule="auto"/>
        <w:jc w:val="left"/>
      </w:pPr>
      <w:r>
        <w:rPr>
          <w:rFonts w:ascii="Times New Roman" w:hAnsi="Times New Roman"/>
          <w:b/>
          <w:sz w:val="24"/>
        </w:rPr>
        <w:t>Recomendaciones</w:t>
      </w:r>
      <w:bookmarkEnd w:id="bm_cap5_recom"/>
    </w:p>
    <w:p>
      <w:pPr>
        <w:spacing w:line="360" w:lineRule="auto"/>
        <w:ind w:firstLine="709"/>
        <w:jc w:val="both"/>
      </w:pPr>
      <w:r>
        <w:rPr>
          <w:rFonts w:ascii="Times New Roman" w:hAnsi="Times New Roman"/>
          <w:sz w:val="24"/>
        </w:rPr>
        <w:t xml:space="preserve">1. </w:t>
      </w:r>
      <w:r>
        <w:rPr>
          <w:rFonts w:ascii="Times New Roman" w:hAnsi="Times New Roman"/>
          <w:sz w:val="24"/>
        </w:rPr>
        <w:t>Implementar la propuesta de manera gradual, iniciando con la formalización del canal de recepción de requisiciones y la utilización uniforme de los formatos diseñados.</w:t>
      </w:r>
    </w:p>
    <w:p>
      <w:pPr>
        <w:spacing w:line="360" w:lineRule="auto"/>
        <w:ind w:firstLine="709"/>
        <w:jc w:val="both"/>
      </w:pPr>
      <w:r>
        <w:rPr>
          <w:rFonts w:ascii="Times New Roman" w:hAnsi="Times New Roman"/>
          <w:sz w:val="24"/>
        </w:rPr>
        <w:t xml:space="preserve">2. </w:t>
      </w:r>
      <w:r>
        <w:rPr>
          <w:rFonts w:ascii="Times New Roman" w:hAnsi="Times New Roman"/>
          <w:sz w:val="24"/>
        </w:rPr>
        <w:t>Socializar el flujo simplificado, los responsables y los criterios de autorización con el personal involucrado en la procura antes de su aplicación general.</w:t>
      </w:r>
    </w:p>
    <w:p>
      <w:pPr>
        <w:spacing w:line="360" w:lineRule="auto"/>
        <w:ind w:firstLine="709"/>
        <w:jc w:val="both"/>
      </w:pPr>
      <w:r>
        <w:rPr>
          <w:rFonts w:ascii="Times New Roman" w:hAnsi="Times New Roman"/>
          <w:sz w:val="24"/>
        </w:rPr>
        <w:t xml:space="preserve">3. </w:t>
      </w:r>
      <w:r>
        <w:rPr>
          <w:rFonts w:ascii="Times New Roman" w:hAnsi="Times New Roman"/>
          <w:sz w:val="24"/>
        </w:rPr>
        <w:t>Registrar mensualmente indicadores básicos, como tiempo promedio del ciclo de compra, solicitudes pendientes y requisiciones tramitadas dentro del plazo definido, para valorar los resultados de la simplificación.</w:t>
      </w:r>
    </w:p>
    <w:p>
      <w:pPr>
        <w:spacing w:line="360" w:lineRule="auto"/>
        <w:ind w:firstLine="709"/>
        <w:jc w:val="both"/>
      </w:pPr>
      <w:r>
        <w:rPr>
          <w:rFonts w:ascii="Times New Roman" w:hAnsi="Times New Roman"/>
          <w:sz w:val="24"/>
        </w:rPr>
        <w:t xml:space="preserve">4. </w:t>
      </w:r>
      <w:r>
        <w:rPr>
          <w:rFonts w:ascii="Times New Roman" w:hAnsi="Times New Roman"/>
          <w:sz w:val="24"/>
        </w:rPr>
        <w:t>Revisar periódicamente el procedimiento y los formatos con el personal del Departamento Administrativo, incorporando ajustes cuando cambien las necesidades operativas de la empresa.</w:t>
      </w:r>
    </w:p>
    <w:p>
      <w:pPr>
        <w:sectPr>
          <w:footerReference w:type="default" r:id="rId60"/>
          <w:footerReference w:type="first" r:id="rId61"/>
          <w:type w:val="continuous"/>
          <w:pgSz w:w="12240" w:h="15840"/>
          <w:pgMar w:top="1701" w:right="1701" w:bottom="1701" w:left="2268" w:header="720" w:footer="720" w:gutter="0"/>
          <w:cols w:space="720"/>
          <w:titlePg/>
          <w:docGrid w:linePitch="360"/>
          <w:pgNumType w:fmt="decimal"/>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62"/>
          <w:footerReference w:type="first" r:id="rId63"/>
          <w:pgSz w:w="12240" w:h="15840"/>
          <w:pgMar w:top="1701" w:right="1701" w:bottom="1701" w:left="2268" w:header="720" w:footer="720" w:gutter="0"/>
          <w:cols w:space="720"/>
          <w:titlePg/>
          <w:docGrid w:linePitch="360"/>
          <w:pgNumType w:fmt="decimal"/>
        </w:sectPr>
      </w:pPr>
    </w:p>
    <w:p>
      <w:pPr>
        <w:spacing w:before="480" w:after="0"/>
      </w:pPr>
    </w:p>
    <w:p>
      <w:pPr>
        <w:spacing w:line="240" w:lineRule="auto" w:after="480" w:before="0"/>
        <w:ind w:left="425" w:hanging="425"/>
        <w:jc w:val="both"/>
      </w:pPr>
      <w:r>
        <w:rPr>
          <w:rFonts w:ascii="Times New Roman" w:hAnsi="Times New Roman"/>
          <w:sz w:val="24"/>
        </w:rPr>
        <w:t>Asamblea Nacional Constituyente. (1999). Constitución de la República Bolivariana de Venezuela. Gaceta Oficial de la República Bolivariana de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Congreso de la República de Venezuela. (1955). Código de Comercio. Gaceta Oficial Extraordinaria N.º 475.</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Mantilla, S. (2005). Control interno: Informe COSO (4ta ed.). Ecoe Ediciones, Colombia.</w:t>
      </w:r>
    </w:p>
    <w:p>
      <w:pPr>
        <w:spacing w:line="240" w:lineRule="auto" w:after="480" w:before="0"/>
        <w:ind w:left="425" w:hanging="425"/>
        <w:jc w:val="both"/>
      </w:pPr>
      <w:r>
        <w:rPr>
          <w:rFonts w:ascii="Times New Roman" w:hAnsi="Times New Roman"/>
          <w:sz w:val="24"/>
        </w:rPr>
        <w:t>Monterroso, E. (2002). El proceso de abastecimiento: El aprovisionamiento. Universidad Nacional de Luján, Argentina.</w:t>
      </w:r>
    </w:p>
    <w:p>
      <w:pPr>
        <w:sectPr>
          <w:footerReference w:type="default" r:id="rId64"/>
          <w:footerReference w:type="first" r:id="rId65"/>
          <w:type w:val="continuous"/>
          <w:pgSz w:w="12240" w:h="15840"/>
          <w:pgMar w:top="1701" w:right="1701" w:bottom="1701" w:left="2268" w:header="720" w:footer="720" w:gutter="0"/>
          <w:cols w:space="720"/>
          <w:titlePg/>
          <w:docGrid w:linePitch="360"/>
          <w:pgNumType w:fmt="decimal"/>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66"/>
          <w:pgSz w:w="12240" w:h="15840"/>
          <w:pgMar w:top="1701" w:right="1701" w:bottom="1701" w:left="2268" w:header="720" w:footer="720" w:gutter="0"/>
          <w:cols w:space="720"/>
          <w:docGrid w:linePitch="360"/>
          <w:pgNumType w:fmt="decimal"/>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[Diagrama de Ishikawa de las causas asociadas a las demoras del proceso de procura]</w:t>
      </w:r>
    </w:p>
    <w:p>
      <w:pPr>
        <w:jc w:val="center"/>
      </w:pPr>
      <w:r>
        <w:drawing>
          <wp:inline xmlns:a="http://schemas.openxmlformats.org/drawingml/2006/main" xmlns:pic="http://schemas.openxmlformats.org/drawingml/2006/picture">
            <wp:extent cx="4680000" cy="778671"/>
            <wp:docPr id="5" name="Picture 5"/>
            <wp:cNvGraphicFramePr>
              <a:graphicFrameLocks noChangeAspect="1"/>
            </wp:cNvGraphicFramePr>
            <a:graphic>
              <a:graphicData uri="http://schemas.openxmlformats.org/drawingml/2006/picture">
                <pic:pic>
                  <pic:nvPicPr>
                    <pic:cNvPr id="0" name="01_ishikawa_demoras_procura.png"/>
                    <pic:cNvPicPr/>
                  </pic:nvPicPr>
                  <pic:blipFill>
                    <a:blip r:embed="rId13"/>
                    <a:stretch>
                      <a:fillRect/>
                    </a:stretch>
                  </pic:blipFill>
                  <pic:spPr>
                    <a:xfrm>
                      <a:off x="0" y="0"/>
                      <a:ext cx="4680000" cy="778671"/>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67"/>
          <w:pgSz w:w="12240" w:h="15840"/>
          <w:pgMar w:top="1701" w:right="1701" w:bottom="1701" w:left="2268" w:header="720" w:footer="720" w:gutter="0"/>
          <w:cols w:space="720"/>
          <w:docGrid w:linePitch="360"/>
          <w:pgNumType w:fmt="decimal"/>
        </w:sectPr>
      </w:pPr>
    </w:p>
    <w:p>
      <w:bookmarkStart w:id="bm_anexoB" w:name="bm_anexoB"/>
      <w:pPr>
        <w:spacing w:before="0" w:after="480"/>
        <w:jc w:val="center"/>
      </w:pPr>
      <w:bookmarkEnd w:id="bm_anexoB"/>
      <w:r>
        <w:rPr>
          <w:rFonts w:ascii="Times New Roman" w:hAnsi="Times New Roman"/>
          <w:b/>
          <w:sz w:val="24"/>
        </w:rPr>
        <w:t>ANEXO B</w:t>
      </w:r>
    </w:p>
    <w:p>
      <w:pPr>
        <w:spacing w:before="240" w:after="480"/>
        <w:jc w:val="center"/>
      </w:pPr>
      <w:r>
        <w:rPr>
          <w:rFonts w:ascii="Times New Roman" w:hAnsi="Times New Roman"/>
          <w:b/>
          <w:sz w:val="24"/>
        </w:rPr>
        <w:t>[Flujograma AS-IS del proceso actual de procura]</w:t>
      </w:r>
    </w:p>
    <w:p>
      <w:pPr>
        <w:jc w:val="center"/>
      </w:pPr>
      <w:r>
        <w:drawing>
          <wp:inline xmlns:a="http://schemas.openxmlformats.org/drawingml/2006/main" xmlns:pic="http://schemas.openxmlformats.org/drawingml/2006/picture">
            <wp:extent cx="2763891" cy="5400000"/>
            <wp:docPr id="6" name="Picture 6"/>
            <wp:cNvGraphicFramePr>
              <a:graphicFrameLocks noChangeAspect="1"/>
            </wp:cNvGraphicFramePr>
            <a:graphic>
              <a:graphicData uri="http://schemas.openxmlformats.org/drawingml/2006/picture">
                <pic:pic>
                  <pic:nvPicPr>
                    <pic:cNvPr id="0" name="02_flujo_as_is_procura.png"/>
                    <pic:cNvPicPr/>
                  </pic:nvPicPr>
                  <pic:blipFill>
                    <a:blip r:embed="rId14"/>
                    <a:stretch>
                      <a:fillRect/>
                    </a:stretch>
                  </pic:blipFill>
                  <pic:spPr>
                    <a:xfrm>
                      <a:off x="0" y="0"/>
                      <a:ext cx="2763891" cy="540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68"/>
          <w:pgSz w:w="12240" w:h="15840"/>
          <w:pgMar w:top="1701" w:right="1701" w:bottom="1701" w:left="2268" w:header="720" w:footer="720" w:gutter="0"/>
          <w:cols w:space="720"/>
          <w:docGrid w:linePitch="360"/>
          <w:pgNumType w:fmt="decimal"/>
        </w:sectPr>
      </w:pPr>
    </w:p>
    <w:p>
      <w:bookmarkStart w:id="bm_anexoC" w:name="bm_anexoC"/>
      <w:pPr>
        <w:spacing w:before="0" w:after="480"/>
        <w:jc w:val="center"/>
      </w:pPr>
      <w:bookmarkEnd w:id="bm_anexoC"/>
      <w:r>
        <w:rPr>
          <w:rFonts w:ascii="Times New Roman" w:hAnsi="Times New Roman"/>
          <w:b/>
          <w:sz w:val="24"/>
        </w:rPr>
        <w:t>ANEXO C</w:t>
      </w:r>
    </w:p>
    <w:p>
      <w:pPr>
        <w:spacing w:before="240" w:after="480"/>
        <w:jc w:val="center"/>
      </w:pPr>
      <w:r>
        <w:rPr>
          <w:rFonts w:ascii="Times New Roman" w:hAnsi="Times New Roman"/>
          <w:b/>
          <w:sz w:val="24"/>
        </w:rPr>
        <w:t>[Flujograma TO-BE del proceso simplificado propuesto]</w:t>
      </w:r>
    </w:p>
    <w:p>
      <w:pPr>
        <w:jc w:val="center"/>
      </w:pPr>
      <w:r>
        <w:drawing>
          <wp:inline xmlns:a="http://schemas.openxmlformats.org/drawingml/2006/main" xmlns:pic="http://schemas.openxmlformats.org/drawingml/2006/picture">
            <wp:extent cx="2205488" cy="5400000"/>
            <wp:docPr id="7" name="Picture 7"/>
            <wp:cNvGraphicFramePr>
              <a:graphicFrameLocks noChangeAspect="1"/>
            </wp:cNvGraphicFramePr>
            <a:graphic>
              <a:graphicData uri="http://schemas.openxmlformats.org/drawingml/2006/picture">
                <pic:pic>
                  <pic:nvPicPr>
                    <pic:cNvPr id="0" name="03_flujo_to_be_procura.png"/>
                    <pic:cNvPicPr/>
                  </pic:nvPicPr>
                  <pic:blipFill>
                    <a:blip r:embed="rId15"/>
                    <a:stretch>
                      <a:fillRect/>
                    </a:stretch>
                  </pic:blipFill>
                  <pic:spPr>
                    <a:xfrm>
                      <a:off x="0" y="0"/>
                      <a:ext cx="2205488" cy="540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69"/>
          <w:pgSz w:w="12240" w:h="15840"/>
          <w:pgMar w:top="1701" w:right="1701" w:bottom="1701" w:left="2268" w:header="720" w:footer="720" w:gutter="0"/>
          <w:cols w:space="720"/>
          <w:docGrid w:linePitch="360"/>
          <w:pgNumType w:fmt="decimal"/>
        </w:sectPr>
      </w:pPr>
    </w:p>
    <w:p>
      <w:bookmarkStart w:id="bm_anexoD" w:name="bm_anexoD"/>
      <w:pPr>
        <w:spacing w:before="0" w:after="480"/>
        <w:jc w:val="center"/>
      </w:pPr>
      <w:bookmarkEnd w:id="bm_anexoD"/>
      <w:r>
        <w:rPr>
          <w:rFonts w:ascii="Times New Roman" w:hAnsi="Times New Roman"/>
          <w:b/>
          <w:sz w:val="24"/>
        </w:rPr>
        <w:t>ANEXO D</w:t>
      </w:r>
    </w:p>
    <w:p>
      <w:pPr>
        <w:spacing w:before="240" w:after="480"/>
        <w:jc w:val="center"/>
      </w:pPr>
      <w:r>
        <w:rPr>
          <w:rFonts w:ascii="Times New Roman" w:hAnsi="Times New Roman"/>
          <w:b/>
          <w:sz w:val="24"/>
        </w:rPr>
        <w:t>[Swimlane del proceso propuesto de procura]</w:t>
      </w:r>
    </w:p>
    <w:p>
      <w:pPr>
        <w:jc w:val="center"/>
      </w:pPr>
      <w:r>
        <w:drawing>
          <wp:inline xmlns:a="http://schemas.openxmlformats.org/drawingml/2006/main" xmlns:pic="http://schemas.openxmlformats.org/drawingml/2006/picture">
            <wp:extent cx="5040000" cy="4543987"/>
            <wp:docPr id="8" name="Picture 8"/>
            <wp:cNvGraphicFramePr>
              <a:graphicFrameLocks noChangeAspect="1"/>
            </wp:cNvGraphicFramePr>
            <a:graphic>
              <a:graphicData uri="http://schemas.openxmlformats.org/drawingml/2006/picture">
                <pic:pic>
                  <pic:nvPicPr>
                    <pic:cNvPr id="0" name="04_swimlane_procura.png"/>
                    <pic:cNvPicPr/>
                  </pic:nvPicPr>
                  <pic:blipFill>
                    <a:blip r:embed="rId16"/>
                    <a:stretch>
                      <a:fillRect/>
                    </a:stretch>
                  </pic:blipFill>
                  <pic:spPr>
                    <a:xfrm>
                      <a:off x="0" y="0"/>
                      <a:ext cx="5040000" cy="4543987"/>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0"/>
          <w:pgSz w:w="12240" w:h="15840"/>
          <w:pgMar w:top="1701" w:right="1701" w:bottom="1701" w:left="2268" w:header="720" w:footer="720" w:gutter="0"/>
          <w:cols w:space="720"/>
          <w:docGrid w:linePitch="360"/>
          <w:pgNumType w:fmt="decimal"/>
        </w:sectPr>
      </w:pPr>
    </w:p>
    <w:p>
      <w:bookmarkStart w:id="bm_anexoE" w:name="bm_anexoE"/>
      <w:pPr>
        <w:spacing w:before="0" w:after="480"/>
        <w:jc w:val="center"/>
      </w:pPr>
      <w:bookmarkEnd w:id="bm_anexoE"/>
      <w:r>
        <w:rPr>
          <w:rFonts w:ascii="Times New Roman" w:hAnsi="Times New Roman"/>
          <w:b/>
          <w:sz w:val="24"/>
        </w:rPr>
        <w:t>ANEXO E</w:t>
      </w:r>
    </w:p>
    <w:p>
      <w:pPr>
        <w:spacing w:before="240" w:after="480"/>
        <w:jc w:val="center"/>
      </w:pPr>
      <w:r>
        <w:rPr>
          <w:rFonts w:ascii="Times New Roman" w:hAnsi="Times New Roman"/>
          <w:b/>
          <w:sz w:val="24"/>
        </w:rPr>
        <w:t>[SIPOC del proceso de procura]</w:t>
      </w:r>
    </w:p>
    <w:p>
      <w:pPr>
        <w:jc w:val="center"/>
      </w:pPr>
      <w:r>
        <w:drawing>
          <wp:inline xmlns:a="http://schemas.openxmlformats.org/drawingml/2006/main" xmlns:pic="http://schemas.openxmlformats.org/drawingml/2006/picture">
            <wp:extent cx="4397917" cy="5040000"/>
            <wp:docPr id="9" name="Picture 9"/>
            <wp:cNvGraphicFramePr>
              <a:graphicFrameLocks noChangeAspect="1"/>
            </wp:cNvGraphicFramePr>
            <a:graphic>
              <a:graphicData uri="http://schemas.openxmlformats.org/drawingml/2006/picture">
                <pic:pic>
                  <pic:nvPicPr>
                    <pic:cNvPr id="0" name="05_sipoc_procura.png"/>
                    <pic:cNvPicPr/>
                  </pic:nvPicPr>
                  <pic:blipFill>
                    <a:blip r:embed="rId17"/>
                    <a:stretch>
                      <a:fillRect/>
                    </a:stretch>
                  </pic:blipFill>
                  <pic:spPr>
                    <a:xfrm>
                      <a:off x="0" y="0"/>
                      <a:ext cx="4397917" cy="504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1"/>
          <w:pgSz w:w="12240" w:h="15840"/>
          <w:pgMar w:top="1701" w:right="1701" w:bottom="1701" w:left="2268" w:header="720" w:footer="720" w:gutter="0"/>
          <w:cols w:space="720"/>
          <w:docGrid w:linePitch="360"/>
          <w:pgNumType w:fmt="decimal"/>
        </w:sectPr>
      </w:pPr>
    </w:p>
    <w:p>
      <w:bookmarkStart w:id="bm_anexoF" w:name="bm_anexoF"/>
      <w:pPr>
        <w:spacing w:before="0" w:after="480"/>
        <w:jc w:val="center"/>
      </w:pPr>
      <w:bookmarkEnd w:id="bm_anexoF"/>
      <w:r>
        <w:rPr>
          <w:rFonts w:ascii="Times New Roman" w:hAnsi="Times New Roman"/>
          <w:b/>
          <w:sz w:val="24"/>
        </w:rPr>
        <w:t>ANEXO F</w:t>
      </w:r>
    </w:p>
    <w:p>
      <w:pPr>
        <w:spacing w:before="240" w:after="480"/>
        <w:jc w:val="center"/>
      </w:pPr>
      <w:r>
        <w:rPr>
          <w:rFonts w:ascii="Times New Roman" w:hAnsi="Times New Roman"/>
          <w:b/>
          <w:sz w:val="24"/>
        </w:rPr>
        <w:t>[Matriz RACI propuesta del proceso de procura]</w:t>
      </w:r>
    </w:p>
    <w:p>
      <w:pPr>
        <w:jc w:val="center"/>
      </w:pPr>
      <w:r>
        <w:drawing>
          <wp:inline xmlns:a="http://schemas.openxmlformats.org/drawingml/2006/main" xmlns:pic="http://schemas.openxmlformats.org/drawingml/2006/picture">
            <wp:extent cx="5040000" cy="1349827"/>
            <wp:docPr id="10" name="Picture 10"/>
            <wp:cNvGraphicFramePr>
              <a:graphicFrameLocks noChangeAspect="1"/>
            </wp:cNvGraphicFramePr>
            <a:graphic>
              <a:graphicData uri="http://schemas.openxmlformats.org/drawingml/2006/picture">
                <pic:pic>
                  <pic:nvPicPr>
                    <pic:cNvPr id="0" name="06_matriz_raci_propuesta.png"/>
                    <pic:cNvPicPr/>
                  </pic:nvPicPr>
                  <pic:blipFill>
                    <a:blip r:embed="rId18"/>
                    <a:stretch>
                      <a:fillRect/>
                    </a:stretch>
                  </pic:blipFill>
                  <pic:spPr>
                    <a:xfrm>
                      <a:off x="0" y="0"/>
                      <a:ext cx="5040000" cy="1349827"/>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2"/>
          <w:pgSz w:w="12240" w:h="15840"/>
          <w:pgMar w:top="1701" w:right="1701" w:bottom="1701" w:left="2268" w:header="720" w:footer="720" w:gutter="0"/>
          <w:cols w:space="720"/>
          <w:docGrid w:linePitch="360"/>
          <w:pgNumType w:fmt="decimal"/>
        </w:sectPr>
      </w:pPr>
    </w:p>
    <w:p>
      <w:bookmarkStart w:id="bm_anexoG" w:name="bm_anexoG"/>
      <w:pPr>
        <w:spacing w:before="0" w:after="480"/>
        <w:jc w:val="center"/>
      </w:pPr>
      <w:bookmarkEnd w:id="bm_anexoG"/>
      <w:r>
        <w:rPr>
          <w:rFonts w:ascii="Times New Roman" w:hAnsi="Times New Roman"/>
          <w:b/>
          <w:sz w:val="24"/>
        </w:rPr>
        <w:t>ANEXO G</w:t>
      </w:r>
    </w:p>
    <w:p>
      <w:pPr>
        <w:spacing w:before="240" w:after="480"/>
        <w:jc w:val="center"/>
      </w:pPr>
      <w:r>
        <w:rPr>
          <w:rFonts w:ascii="Times New Roman" w:hAnsi="Times New Roman"/>
          <w:b/>
          <w:sz w:val="24"/>
        </w:rPr>
        <w:t>[Diagrama de Ishikawa definitivo de las causas asociadas a las demoras y pérdida de trazabilidad del proceso de procura]</w:t>
      </w:r>
    </w:p>
    <w:p>
      <w:pPr>
        <w:jc w:val="center"/>
      </w:pPr>
      <w:r>
        <w:drawing>
          <wp:inline xmlns:a="http://schemas.openxmlformats.org/drawingml/2006/main" xmlns:pic="http://schemas.openxmlformats.org/drawingml/2006/picture">
            <wp:extent cx="5040000" cy="1524534"/>
            <wp:docPr id="11" name="Picture 11"/>
            <wp:cNvGraphicFramePr>
              <a:graphicFrameLocks noChangeAspect="1"/>
            </wp:cNvGraphicFramePr>
            <a:graphic>
              <a:graphicData uri="http://schemas.openxmlformats.org/drawingml/2006/picture">
                <pic:pic>
                  <pic:nvPicPr>
                    <pic:cNvPr id="0" name="ishikawa_keidy_procura.png"/>
                    <pic:cNvPicPr/>
                  </pic:nvPicPr>
                  <pic:blipFill>
                    <a:blip r:embed="rId19"/>
                    <a:stretch>
                      <a:fillRect/>
                    </a:stretch>
                  </pic:blipFill>
                  <pic:spPr>
                    <a:xfrm>
                      <a:off x="0" y="0"/>
                      <a:ext cx="5040000" cy="1524534"/>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sectPr w:rsidR="00FC693F" w:rsidRPr="0006063C" w:rsidSect="00034616">
      <w:footerReference w:type="default" r:id="rId73"/>
      <w:pgSz w:w="12240" w:h="15840"/>
      <w:pgMar w:top="1701" w:right="1701" w:bottom="1701" w:left="2268"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footer" Target="footer19.xml"/><Relationship Id="rId39" Type="http://schemas.openxmlformats.org/officeDocument/2006/relationships/footer" Target="footer20.xml"/><Relationship Id="rId40" Type="http://schemas.openxmlformats.org/officeDocument/2006/relationships/footer" Target="footer21.xml"/><Relationship Id="rId41" Type="http://schemas.openxmlformats.org/officeDocument/2006/relationships/footer" Target="footer22.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footer" Target="footer25.xml"/><Relationship Id="rId45" Type="http://schemas.openxmlformats.org/officeDocument/2006/relationships/footer" Target="footer26.xml"/><Relationship Id="rId46" Type="http://schemas.openxmlformats.org/officeDocument/2006/relationships/footer" Target="footer27.xml"/><Relationship Id="rId47" Type="http://schemas.openxmlformats.org/officeDocument/2006/relationships/footer" Target="footer28.xml"/><Relationship Id="rId48" Type="http://schemas.openxmlformats.org/officeDocument/2006/relationships/footer" Target="footer29.xml"/><Relationship Id="rId49" Type="http://schemas.openxmlformats.org/officeDocument/2006/relationships/footer" Target="footer30.xml"/><Relationship Id="rId50" Type="http://schemas.openxmlformats.org/officeDocument/2006/relationships/footer" Target="footer31.xml"/><Relationship Id="rId51" Type="http://schemas.openxmlformats.org/officeDocument/2006/relationships/footer" Target="footer32.xml"/><Relationship Id="rId52" Type="http://schemas.openxmlformats.org/officeDocument/2006/relationships/footer" Target="footer33.xml"/><Relationship Id="rId53" Type="http://schemas.openxmlformats.org/officeDocument/2006/relationships/footer" Target="footer34.xml"/><Relationship Id="rId54" Type="http://schemas.openxmlformats.org/officeDocument/2006/relationships/footer" Target="footer35.xml"/><Relationship Id="rId55" Type="http://schemas.openxmlformats.org/officeDocument/2006/relationships/footer" Target="footer36.xml"/><Relationship Id="rId56" Type="http://schemas.openxmlformats.org/officeDocument/2006/relationships/footer" Target="footer37.xml"/><Relationship Id="rId57" Type="http://schemas.openxmlformats.org/officeDocument/2006/relationships/footer" Target="footer38.xml"/><Relationship Id="rId58" Type="http://schemas.openxmlformats.org/officeDocument/2006/relationships/footer" Target="footer39.xml"/><Relationship Id="rId59" Type="http://schemas.openxmlformats.org/officeDocument/2006/relationships/footer" Target="footer40.xml"/><Relationship Id="rId60" Type="http://schemas.openxmlformats.org/officeDocument/2006/relationships/footer" Target="footer41.xml"/><Relationship Id="rId61" Type="http://schemas.openxmlformats.org/officeDocument/2006/relationships/footer" Target="footer42.xml"/><Relationship Id="rId62" Type="http://schemas.openxmlformats.org/officeDocument/2006/relationships/footer" Target="footer43.xml"/><Relationship Id="rId63" Type="http://schemas.openxmlformats.org/officeDocument/2006/relationships/footer" Target="footer44.xml"/><Relationship Id="rId64" Type="http://schemas.openxmlformats.org/officeDocument/2006/relationships/footer" Target="footer45.xml"/><Relationship Id="rId65" Type="http://schemas.openxmlformats.org/officeDocument/2006/relationships/footer" Target="footer46.xml"/><Relationship Id="rId66" Type="http://schemas.openxmlformats.org/officeDocument/2006/relationships/footer" Target="footer47.xml"/><Relationship Id="rId67" Type="http://schemas.openxmlformats.org/officeDocument/2006/relationships/footer" Target="footer48.xml"/><Relationship Id="rId68" Type="http://schemas.openxmlformats.org/officeDocument/2006/relationships/footer" Target="footer49.xml"/><Relationship Id="rId69" Type="http://schemas.openxmlformats.org/officeDocument/2006/relationships/footer" Target="footer50.xml"/><Relationship Id="rId70" Type="http://schemas.openxmlformats.org/officeDocument/2006/relationships/footer" Target="footer51.xml"/><Relationship Id="rId71" Type="http://schemas.openxmlformats.org/officeDocument/2006/relationships/footer" Target="footer52.xml"/><Relationship Id="rId72" Type="http://schemas.openxmlformats.org/officeDocument/2006/relationships/footer" Target="footer53.xml"/><Relationship Id="rId73" Type="http://schemas.openxmlformats.org/officeDocument/2006/relationships/footer" Target="foot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