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3158" w:after="0"/>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p>
      <w:pPr>
        <w:spacing w:line="276" w:lineRule="auto" w:before="1579"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Ing. Sabaneta, Yasmin</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Mendoza, Carlos</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tc>
      </w:tr>
    </w:tbl>
    <w:p>
      <w:pPr>
        <w:spacing w:line="276" w:lineRule="auto" w:before="1272"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Cardona, Juliano, de Cédula de Identidad V-32.281.199; para optar al grado de Técnico Superior Universitario en la especialidad de: Informática, cuyo título es; “DISEÑO DE UN SISTEMA PARA EL CONTROL, TRAZABILIDAD Y REPORTE DE MOVIMIENTOS DOCUMENTALES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Sabaneta, Yasmin</w:t>
      </w:r>
    </w:p>
    <w:p>
      <w:pPr>
        <w:spacing w:before="0"/>
        <w:jc w:val="center"/>
      </w:pPr>
      <w:r>
        <w:rPr>
          <w:rFonts w:ascii="Times New Roman" w:hAnsi="Times New Roman"/>
          <w:sz w:val="24"/>
        </w:rPr>
        <w:t>C.I.: 14.187.924</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Cardona, Juliano, de Cédula de Identidad V-32.281.199; para optar al grado de Técnico Superior Universitario en la especialidad de: Informática, cuyo título es; “DISEÑO DE UN SISTEMA PARA EL CONTROL, TRAZABILIDAD Y REPORTE DE MOVIMIENTOS DOCUMENTALES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Mendoza, Carlos</w:t>
      </w:r>
    </w:p>
    <w:p>
      <w:pPr>
        <w:spacing w:before="0"/>
        <w:jc w:val="center"/>
      </w:pPr>
      <w:r>
        <w:rPr>
          <w:rFonts w:ascii="Times New Roman" w:hAnsi="Times New Roman"/>
          <w:sz w:val="24"/>
        </w:rPr>
        <w:t>C.I.: 4.273.815</w:t>
      </w:r>
    </w:p>
    <w:p>
      <w:pPr>
        <w:sectPr>
          <w:footerReference w:type="default" r:id="rId16"/>
          <w:pgSz w:w="12240" w:h="15840"/>
          <w:pgMar w:top="1701" w:right="1701" w:bottom="1701" w:left="2268" w:header="720" w:footer="720" w:gutter="0"/>
          <w:cols w:space="720"/>
          <w:titlePg/>
          <w:docGrid w:linePitch="360"/>
        </w:sectPr>
      </w:pPr>
    </w:p>
    <w:p>
      <w:bookmarkStart w:id="bm_agradecimientos" w:name="bm_agradecimientos"/>
      <w:pPr>
        <w:spacing w:before="1140" w:after="480"/>
        <w:jc w:val="center"/>
      </w:pPr>
      <w:r>
        <w:rPr>
          <w:rFonts w:ascii="Times New Roman" w:hAnsi="Times New Roman"/>
          <w:b/>
          <w:sz w:val="24"/>
        </w:rPr>
        <w:t>AGRADECIMIENTOS</w:t>
      </w:r>
      <w:bookmarkEnd w:id="bm_agradecimientos"/>
    </w:p>
    <w:p>
      <w:pPr>
        <w:sectPr>
          <w:footerReference w:type="default" r:id="rId17"/>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la Empresa Mixta Petrolera Venangocupet, S.A., por abrir las puertas de su organización y brindar la oportunidad de desarrollar este proyecto técnico de la mano de excelentes profesionales.</w:t>
      </w:r>
    </w:p>
    <w:p>
      <w:pPr>
        <w:sectPr>
          <w:footerReference w:type="default" r:id="rId18"/>
          <w:type w:val="continuous"/>
          <w:pgSz w:w="12240" w:h="15840"/>
          <w:pgMar w:top="1701" w:right="1701" w:bottom="1701" w:left="2268" w:header="720" w:footer="720" w:gutter="0"/>
          <w:cols w:space="720"/>
          <w:titlePg/>
          <w:docGrid w:linePitch="360"/>
        </w:sectPr>
      </w:pPr>
    </w:p>
    <w:p>
      <w:bookmarkStart w:id="bm_dedicatoria" w:name="bm_dedicatoria"/>
      <w:pPr>
        <w:spacing w:before="1140" w:after="480"/>
        <w:jc w:val="center"/>
      </w:pPr>
      <w:r>
        <w:rPr>
          <w:rFonts w:ascii="Times New Roman" w:hAnsi="Times New Roman"/>
          <w:b/>
          <w:sz w:val="24"/>
        </w:rPr>
        <w:t>DEDICATORIA</w:t>
      </w:r>
      <w:bookmarkEnd w:id="bm_dedicatoria"/>
    </w:p>
    <w:p>
      <w:pPr>
        <w:sectPr>
          <w:footerReference w:type="default" r:id="rId19"/>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mi familia, por su apoyo incondicional en cada paso de mi formación académica y personal.</w:t>
      </w:r>
    </w:p>
    <w:p>
      <w:pPr>
        <w:sectPr>
          <w:footerReference w:type="default" r:id="rId20"/>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21"/>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22"/>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3"/>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 factible (9 semanas)</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4"/>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5"/>
          <w:pgSz w:w="12240" w:h="15840"/>
          <w:pgMar w:top="1701" w:right="1701" w:bottom="1701" w:left="2268" w:header="720" w:footer="720" w:gutter="0"/>
          <w:cols w:space="720"/>
          <w:titlePg/>
          <w:docGrid w:linePitch="360"/>
        </w:sectPr>
      </w:pPr>
    </w:p>
    <w:p>
      <w:pPr>
        <w:sectPr>
          <w:footerReference w:type="default" r:id="rId26"/>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7"/>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Organigrama estructural y niveles jerárquicos de Venangocupet, 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del Departamento de Presidencia.</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8"/>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9"/>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Árbol del problema del control de movimientos documentales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30"/>
          <w:type w:val="continuous"/>
          <w:pgSz w:w="12240" w:h="15840"/>
          <w:pgMar w:top="1701" w:right="1701" w:bottom="1701" w:left="2268" w:header="720" w:footer="720" w:gutter="0"/>
          <w:cols w:space="720"/>
          <w:titlePg/>
          <w:docGrid w:linePitch="360"/>
        </w:sectPr>
      </w:pPr>
    </w:p>
    <w:p>
      <w:pPr>
        <w:spacing w:after="0"/>
        <w:jc w:val="center"/>
      </w:pPr>
      <w:r>
        <w:rPr>
          <w:rFonts w:ascii="Times New Roman" w:hAnsi="Times New Roman"/>
          <w:b/>
          <w:sz w:val="24"/>
        </w:rPr>
        <w:t>REPÚBLICA BOLIVARIANA DE VENEZUELA</w:t>
      </w:r>
    </w:p>
    <w:p>
      <w:pPr>
        <w:spacing w:after="0"/>
        <w:jc w:val="center"/>
      </w:pPr>
      <w:r>
        <w:rPr>
          <w:rFonts w:ascii="Times New Roman" w:hAnsi="Times New Roman"/>
          <w:b/>
          <w:sz w:val="24"/>
        </w:rPr>
        <w:t>MINISTERIO DEL PODER POPULAR PARA LA EDUCACIÓN UNIVERSITARIA</w:t>
      </w:r>
    </w:p>
    <w:p>
      <w:pPr>
        <w:spacing w:after="0"/>
        <w:jc w:val="center"/>
      </w:pPr>
      <w:r>
        <w:rPr>
          <w:rFonts w:ascii="Times New Roman" w:hAnsi="Times New Roman"/>
          <w:b/>
          <w:sz w:val="24"/>
        </w:rPr>
        <w:t>INSTITUTO UNIVERSITARIO DE TECNOLOGÍA</w:t>
      </w:r>
    </w:p>
    <w:p>
      <w:pPr>
        <w:spacing w:after="0"/>
        <w:jc w:val="center"/>
      </w:pPr>
      <w:r>
        <w:rPr>
          <w:rFonts w:ascii="Times New Roman" w:hAnsi="Times New Roman"/>
          <w:b/>
          <w:sz w:val="24"/>
        </w:rPr>
        <w:t>"ELÍAS CALIXTO POMPA"</w:t>
      </w:r>
    </w:p>
    <w:p>
      <w:pPr>
        <w:spacing w:after="0"/>
        <w:jc w:val="center"/>
      </w:pPr>
      <w:r>
        <w:rPr>
          <w:rFonts w:ascii="Times New Roman" w:hAnsi="Times New Roman"/>
          <w:b/>
          <w:sz w:val="24"/>
        </w:rPr>
        <w:t>EL TIGRE, ESTADO ANZOÁTEGUI</w:t>
      </w:r>
    </w:p>
    <w:p>
      <w:pPr>
        <w:spacing w:after="360"/>
      </w:pPr>
    </w:p>
    <w:p>
      <w:pPr>
        <w:spacing w:after="48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after="480"/>
        <w:ind w:left="0"/>
        <w:jc w:val="left"/>
      </w:pPr>
      <w:r>
        <w:rPr>
          <w:rFonts w:ascii="Times New Roman" w:hAnsi="Times New Roman"/>
          <w:b/>
          <w:sz w:val="24"/>
        </w:rPr>
        <w:t>Autor:</w:t>
        <w:br/>
      </w:r>
      <w:r>
        <w:rPr>
          <w:rFonts w:ascii="Times New Roman" w:hAnsi="Times New Roman"/>
          <w:sz w:val="24"/>
        </w:rPr>
        <w:t>Cardona, Juliano</w:t>
        <w:br/>
      </w:r>
      <w:r>
        <w:rPr>
          <w:rFonts w:ascii="Times New Roman" w:hAnsi="Times New Roman"/>
          <w:b/>
          <w:sz w:val="24"/>
        </w:rPr>
        <w:t>C.I.: 32.281.199</w:t>
        <w:br/>
      </w:r>
      <w:r>
        <w:rPr>
          <w:rFonts w:ascii="Times New Roman" w:hAnsi="Times New Roman"/>
          <w:sz w:val="24"/>
        </w:rPr>
        <w:t>julio de 2026</w:t>
      </w:r>
    </w:p>
    <w:p>
      <w:bookmarkStart w:id="bm_resumen" w:name="bm_resumen"/>
      <w:pPr>
        <w:spacing w:before="480" w:after="480"/>
        <w:jc w:val="center"/>
      </w:pPr>
      <w:r>
        <w:rPr>
          <w:rFonts w:ascii="Times New Roman" w:hAnsi="Times New Roman"/>
          <w:b/>
          <w:sz w:val="24"/>
        </w:rPr>
        <w:t>RESUMEN</w:t>
      </w:r>
      <w:bookmarkEnd w:id="bm_resumen"/>
    </w:p>
    <w:p>
      <w:pPr>
        <w:sectPr>
          <w:footerReference w:type="default" r:id="rId31"/>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el diseño de un sistema automatizado para el control, trazabilidad y reporte de movimientos documentales en la Presidencia de la Empresa Mixta Petrolera Venangocupet, S.A. La investigación se enmarca en la modalidad de proyecto factible apoyado en un diagnóstico de campo. Durante el estudio se identificaron demoras operativas derivadas de la transcripción manual en hojas de cálculo y deficiencias en la generación de reportes inmediatos ante altos volúmenes de concurrencia. La solución tecnológica abarca el modelado lógico de datos en SQLite y la construcción de una aplicación de escritorio mediante código HTML empaquetado con el framework Wails, optimizando el registro, búsqueda y auditoría del flujo documental para fortalecer la toma de decisiones gerenciales.</w:t>
      </w:r>
    </w:p>
    <w:p/>
    <w:p>
      <w:pPr>
        <w:ind w:firstLine="709"/>
      </w:pPr>
      <w:r>
        <w:rPr>
          <w:b/>
        </w:rPr>
        <w:t xml:space="preserve">Palabras claves: </w:t>
      </w:r>
      <w:r>
        <w:t>sistema, trazabilidad, automatización, Wails, proyecto factible, pasantías.</w:t>
      </w:r>
    </w:p>
    <w:p>
      <w:pPr>
        <w:sectPr>
          <w:footerReference w:type="default" r:id="rId32"/>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3"/>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Informática, tiene como propósito proponer un sistema automatizado para el control de movimientos documentales en la Presidencia de Venangocupet, S.A. Este desarrollo busca sustituir el registro manual por una herramienta tecnológica de escritorio ágil y moderna, que garantice la trazabilidad de los expedientes, optimizando los tiempos de respuesta y dotando al departamento de un control exacto sobre la entrada y salida de oficios en alta dirección.</w:t>
      </w:r>
    </w:p>
    <w:p>
      <w:pPr>
        <w:sectPr>
          <w:footerReference w:type="default" r:id="rId34"/>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5"/>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Maximizar la recuperación eficiente y segura de las reservas de hidrocarburos asignadas.</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Minimizar los costos operativos mediante la optimización de recursos tecnológicos y logísticos.</w:t>
      </w:r>
    </w:p>
    <w:p>
      <w:pPr>
        <w:spacing w:line="360" w:lineRule="auto"/>
        <w:ind w:firstLine="709"/>
        <w:jc w:val="both"/>
      </w:pPr>
      <w:r>
        <w:rPr>
          <w:rFonts w:ascii="Times New Roman" w:hAnsi="Times New Roman"/>
          <w:sz w:val="24"/>
        </w:rPr>
        <w:t xml:space="preserve">2. </w:t>
      </w:r>
      <w:r>
        <w:rPr>
          <w:rFonts w:ascii="Times New Roman" w:hAnsi="Times New Roman"/>
          <w:sz w:val="24"/>
        </w:rPr>
        <w:t>Garantizar la trazabilidad y el reporte oportuno de la información administrativa de la empresa.</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encuentra ubicada en el sur del estado Anzoátegui, operando geográficamente en los bloques asignados dentro de la División Ayacucho, Faja Petrolífera del Orinoco.</w:t>
      </w:r>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la organización refleja un equipo multidisciplinario especializado en la gestión administrativa y operativa. La población total del personal directo asciende a 107 trabajadores.</w:t>
      </w:r>
    </w:p>
    <w:p>
      <w:pPr>
        <w:spacing w:line="360" w:lineRule="auto" w:after="0" w:before="0"/>
        <w:ind w:firstLine="709"/>
        <w:jc w:val="both"/>
      </w:pPr>
      <w:r>
        <w:rPr>
          <w:rFonts w:ascii="Times New Roman" w:hAnsi="Times New Roman"/>
          <w:i w:val="0"/>
          <w:sz w:val="24"/>
        </w:rPr>
        <w:t>El Departamento de Presidencia, donde se desarrolló la investigación técnica, actúa como el nodo principal de recepción, revisión y canalización de correspondencia ejecutiva. Su operatividad exige un alto nivel de eficiencia en el control de flujos documentales concurrentes.</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arquitectura organizativa de Venangocupet, S.A. se fundamenta en un modelo jerárquico-funcional. La empresa está encabezada por la Junta Directiva y la Presidencia. A continuación, se presenta el organigrama general destacando el Área de Presidencia, contexto en el cual se aplicó el desarrollo tecnológico.</w:t>
      </w:r>
    </w:p>
    <w:p>
      <w:pPr>
        <w:spacing w:before="480"/>
        <w:jc w:val="center"/>
      </w:pPr>
      <w:r>
        <w:drawing>
          <wp:inline xmlns:a="http://schemas.openxmlformats.org/drawingml/2006/main" xmlns:pic="http://schemas.openxmlformats.org/drawingml/2006/picture">
            <wp:extent cx="4320000" cy="3674391"/>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4320000" cy="3674391"/>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Organigrama estructural y niveles jerárquicos de Venangocupet, S.A.</w:t>
      </w:r>
      <w:bookmarkEnd w:id="bm_grafico1"/>
    </w:p>
    <w:p>
      <w:pPr>
        <w:spacing w:before="480"/>
        <w:jc w:val="center"/>
      </w:pPr>
      <w:r>
        <w:drawing>
          <wp:inline xmlns:a="http://schemas.openxmlformats.org/drawingml/2006/main" xmlns:pic="http://schemas.openxmlformats.org/drawingml/2006/picture">
            <wp:extent cx="4320000" cy="2881208"/>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881208"/>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del Departamento de Presidencia.</w:t>
      </w:r>
      <w:bookmarkEnd w:id="bm_grafico2"/>
    </w:p>
    <w:p>
      <w:pPr>
        <w:sectPr>
          <w:footerReference w:type="default" r:id="rId36"/>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7"/>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Codd, E. F. (1970). A relational model of data for large shared data banks. Communications of the ACM, 13(6), 377-387.</w:t>
      </w:r>
    </w:p>
    <w:p>
      <w:pPr>
        <w:spacing w:line="240" w:lineRule="auto" w:after="480" w:before="0"/>
        <w:ind w:left="425" w:hanging="425"/>
        <w:jc w:val="both"/>
      </w:pPr>
      <w:r>
        <w:rPr>
          <w:rFonts w:ascii="Times New Roman" w:hAnsi="Times New Roman"/>
          <w:sz w:val="24"/>
        </w:rPr>
        <w:t>Cruz Mundet, J. R. (2011). Administración de documentos y archivos: Textos fundamentales. Coordinadora de Asociaciones de Archiveros, España.</w:t>
      </w:r>
    </w:p>
    <w:p>
      <w:pPr>
        <w:spacing w:line="240" w:lineRule="auto" w:after="480" w:before="0"/>
        <w:ind w:left="425" w:hanging="425"/>
        <w:jc w:val="both"/>
      </w:pPr>
      <w:r>
        <w:rPr>
          <w:rFonts w:ascii="Times New Roman" w:hAnsi="Times New Roman"/>
          <w:sz w:val="24"/>
        </w:rPr>
        <w:t>Date, C. J. (2001). Introducción a los sistemas de bases de datos (7ma ed.). Pearson Educación, México.</w:t>
      </w:r>
    </w:p>
    <w:p>
      <w:pPr>
        <w:spacing w:line="240" w:lineRule="auto" w:after="480" w:before="0"/>
        <w:ind w:left="425" w:hanging="425"/>
        <w:jc w:val="both"/>
      </w:pPr>
      <w:r>
        <w:rPr>
          <w:rFonts w:ascii="Times New Roman" w:hAnsi="Times New Roman"/>
          <w:sz w:val="24"/>
        </w:rPr>
        <w:t>Gómez, R. (2019). Gestión Documental y Sistemas. Editorial Trillas, México.</w:t>
      </w:r>
    </w:p>
    <w:p>
      <w:pPr>
        <w:spacing w:line="240" w:lineRule="auto" w:after="480" w:before="0"/>
        <w:ind w:left="425" w:hanging="425"/>
        <w:jc w:val="both"/>
      </w:pPr>
      <w:r>
        <w:rPr>
          <w:rFonts w:ascii="Times New Roman" w:hAnsi="Times New Roman"/>
          <w:sz w:val="24"/>
        </w:rPr>
        <w:t>Kendall, K., y Kendall, J. (2011). Análisis y diseño de sistemas (8va ed.). Pearson Educación, México.</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Pressman, R. (2010). Ingeniería de Software: Un enfoque práctico (7ma ed.). McGraw-Hill,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38"/>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39"/>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[Árbol del problema del control de movimientos documentales]</w:t>
      </w:r>
    </w:p>
    <w:p>
      <w:pPr>
        <w:jc w:val="center"/>
      </w:pPr>
      <w:r>
        <w:drawing>
          <wp:inline xmlns:a="http://schemas.openxmlformats.org/drawingml/2006/main" xmlns:pic="http://schemas.openxmlformats.org/drawingml/2006/picture">
            <wp:extent cx="5040000" cy="2949761"/>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040000" cy="2949761"/>
                    </a:xfrm>
                    <a:prstGeom prst="rect"/>
                  </pic:spPr>
                </pic:pic>
              </a:graphicData>
            </a:graphic>
          </wp:inline>
        </w:drawing>
      </w:r>
    </w:p>
    <w:sectPr w:rsidR="00FC693F" w:rsidRPr="0006063C" w:rsidSect="00034616">
      <w:footerReference w:type="default" r:id="rId40"/>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footer" Target="footer25.xml"/><Relationship Id="rId38" Type="http://schemas.openxmlformats.org/officeDocument/2006/relationships/footer" Target="footer26.xml"/><Relationship Id="rId39" Type="http://schemas.openxmlformats.org/officeDocument/2006/relationships/footer" Target="footer27.xml"/><Relationship Id="rId40"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