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3158" w:after="0"/>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p>
      <w:pPr>
        <w:spacing w:line="276" w:lineRule="auto" w:before="1579"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Sabaneta, Yasmin</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Cardona, Juliano</w:t>
              <w:br/>
            </w:r>
            <w:r>
              <w:rPr>
                <w:rFonts w:ascii="Times New Roman" w:hAnsi="Times New Roman"/>
                <w:b/>
                <w:sz w:val="24"/>
              </w:rPr>
              <w:t>C.I.: 32.281.199</w:t>
            </w:r>
          </w:p>
        </w:tc>
      </w:tr>
    </w:tbl>
    <w:p>
      <w:pPr>
        <w:spacing w:line="276" w:lineRule="auto" w:before="1272"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Ing. Sabaneta, Yasmin</w:t>
      </w:r>
    </w:p>
    <w:p>
      <w:pPr>
        <w:spacing w:before="0"/>
        <w:jc w:val="center"/>
      </w:pPr>
      <w:r>
        <w:rPr>
          <w:rFonts w:ascii="Times New Roman" w:hAnsi="Times New Roman"/>
          <w:sz w:val="24"/>
        </w:rPr>
        <w:t>C.I.: 14.187.924</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Cardona, Juliano, de Cédula de Identidad V-32.281.199; para optar al grado de Técnico Superior Universitario en la especialidad de: Informática, cuyo título es; “DISEÑO DE UN SISTEMA PARA EL CONTROL, TRAZABILIDAD Y REPORTE DE MOVIMIENTOS DOCUMENTALES EN LA PRESIDENCIA DE LA EMPRESA MIXTA PETROLERA VENANGOCUPET, S.A.”,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6"/>
          <w:pgSz w:w="12240" w:h="15840"/>
          <w:pgMar w:top="1701" w:right="1701" w:bottom="1701" w:left="2268" w:header="720" w:footer="720" w:gutter="0"/>
          <w:cols w:space="720"/>
          <w:titlePg/>
          <w:docGrid w:linePitch="360"/>
        </w:sectPr>
      </w:pPr>
    </w:p>
    <w:p>
      <w:bookmarkStart w:id="bm_agradecimientos" w:name="bm_agradecimientos"/>
      <w:pPr>
        <w:spacing w:before="1140" w:after="480"/>
        <w:jc w:val="center"/>
      </w:pPr>
      <w:r>
        <w:rPr>
          <w:rFonts w:ascii="Times New Roman" w:hAnsi="Times New Roman"/>
          <w:b/>
          <w:sz w:val="24"/>
        </w:rPr>
        <w:t>AGRADECIMIENTOS</w:t>
      </w:r>
      <w:bookmarkEnd w:id="bm_agradecimientos"/>
    </w:p>
    <w:p>
      <w:pPr>
        <w:sectPr>
          <w:footerReference w:type="default" r:id="rId1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8"/>
          <w:type w:val="continuous"/>
          <w:pgSz w:w="12240" w:h="15840"/>
          <w:pgMar w:top="1701" w:right="1701" w:bottom="1701" w:left="2268" w:header="720" w:footer="720" w:gutter="0"/>
          <w:cols w:space="720"/>
          <w:titlePg/>
          <w:docGrid w:linePitch="360"/>
        </w:sectPr>
      </w:pPr>
    </w:p>
    <w:p>
      <w:bookmarkStart w:id="bm_dedicatoria" w:name="bm_dedicatoria"/>
      <w:pPr>
        <w:spacing w:before="1140" w:after="480"/>
        <w:jc w:val="center"/>
      </w:pPr>
      <w:r>
        <w:rPr>
          <w:rFonts w:ascii="Times New Roman" w:hAnsi="Times New Roman"/>
          <w:b/>
          <w:sz w:val="24"/>
        </w:rPr>
        <w:t>DEDICATORIA</w:t>
      </w:r>
      <w:bookmarkEnd w:id="bm_dedicatoria"/>
    </w:p>
    <w:p>
      <w:pPr>
        <w:sectPr>
          <w:footerReference w:type="default" r:id="rId1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2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21"/>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5"/>
          <w:pgSz w:w="12240" w:h="15840"/>
          <w:pgMar w:top="1701" w:right="1701" w:bottom="1701" w:left="2268" w:header="720" w:footer="720" w:gutter="0"/>
          <w:cols w:space="720"/>
          <w:titlePg/>
          <w:docGrid w:linePitch="360"/>
        </w:sectPr>
      </w:pPr>
    </w:p>
    <w:p>
      <w:pPr>
        <w:sectPr>
          <w:footerReference w:type="default" r:id="rId26"/>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Árbol del problema del control de movimientos documentales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30"/>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after="480"/>
        <w:ind w:left="0"/>
        <w:jc w:val="left"/>
      </w:pPr>
      <w:r>
        <w:rPr>
          <w:rFonts w:ascii="Times New Roman" w:hAnsi="Times New Roman"/>
          <w:b/>
          <w:sz w:val="24"/>
        </w:rPr>
        <w:t>Autor:</w:t>
        <w:br/>
      </w:r>
      <w:r>
        <w:rPr>
          <w:rFonts w:ascii="Times New Roman" w:hAnsi="Times New Roman"/>
          <w:sz w:val="24"/>
        </w:rPr>
        <w:t>Cardona, Juliano</w:t>
        <w:br/>
      </w:r>
      <w:r>
        <w:rPr>
          <w:rFonts w:ascii="Times New Roman" w:hAnsi="Times New Roman"/>
          <w:b/>
          <w:sz w:val="24"/>
        </w:rPr>
        <w:t>C.I.: 32.281.199</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32"/>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3"/>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5"/>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Maximizar la recuperación eficiente y segura de las reservas de hidrocarburos asignadas.</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2. </w:t>
      </w:r>
      <w:r>
        <w:rPr>
          <w:rFonts w:ascii="Times New Roman" w:hAnsi="Times New Roman"/>
          <w:sz w:val="24"/>
        </w:rPr>
        <w:t>Garantizar la trazabilidad y el reporte oportuno de la información administrativa de la empresa.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7"/>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trazabilidad de los movimientos documentales.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Cuaderno de notas y registros de Excel.</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1644" w:type="dxa"/>
            <w:shd w:val="clear" w:color="auto" w:fill="D9E1F2"/>
          </w:tcPr>
          <w:p>
            <w:pPr>
              <w:spacing w:before="60" w:after="60" w:line="240" w:lineRule="auto"/>
              <w:jc w:val="both"/>
            </w:pPr>
            <w:r>
              <w:rPr>
                <w:rFonts w:ascii="Times New Roman" w:hAnsi="Times New Roman"/>
                <w:b w:val="0"/>
                <w:color w:val="000000"/>
                <w:sz w:val="20"/>
              </w:rPr>
              <w:t>Requerimientos técnicos y funcionales para la trazabilidad documental.</w:t>
            </w:r>
          </w:p>
        </w:tc>
        <w:tc>
          <w:tcPr>
            <w:tcW w:w="1644" w:type="dxa"/>
            <w:shd w:val="clear" w:color="auto" w:fill="D9E1F2"/>
          </w:tcPr>
          <w:p>
            <w:pPr>
              <w:spacing w:before="60" w:after="60" w:line="240" w:lineRule="auto"/>
              <w:jc w:val="both"/>
            </w:pPr>
            <w:r>
              <w:rPr>
                <w:rFonts w:ascii="Times New Roman" w:hAnsi="Times New Roman"/>
                <w:b w:val="0"/>
                <w:color w:val="000000"/>
                <w:sz w:val="20"/>
              </w:rPr>
              <w:t>Levantamiento de metadatos requeridos y definición de reglas de validación mediante entrevista no estructurada.</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revisión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Formatos de requerimientos y diccionario de datos.</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1644" w:type="dxa"/>
            <w:shd w:val="clear" w:color="auto" w:fill="FFFFFF"/>
          </w:tcPr>
          <w:p>
            <w:pPr>
              <w:spacing w:before="60" w:after="60" w:line="240" w:lineRule="auto"/>
              <w:jc w:val="both"/>
            </w:pPr>
            <w:r>
              <w:rPr>
                <w:rFonts w:ascii="Times New Roman" w:hAnsi="Times New Roman"/>
                <w:b w:val="0"/>
                <w:color w:val="000000"/>
                <w:sz w:val="20"/>
              </w:rPr>
              <w:t>Arquitectura lógica e interfaz gráfica del sistema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644" w:type="dxa"/>
            <w:shd w:val="clear" w:color="auto" w:fill="FFFFFF"/>
          </w:tcPr>
          <w:p>
            <w:pPr>
              <w:spacing w:before="60" w:after="60" w:line="240" w:lineRule="auto"/>
              <w:jc w:val="both"/>
            </w:pPr>
            <w:r>
              <w:rPr>
                <w:rFonts w:ascii="Times New Roman" w:hAnsi="Times New Roman"/>
                <w:b w:val="0"/>
                <w:color w:val="000000"/>
                <w:sz w:val="20"/>
              </w:rPr>
              <w:t>Modelado de datos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Herramientas de modelado y editores de código.</w:t>
            </w:r>
          </w:p>
        </w:tc>
      </w:tr>
      <w:tr>
        <w:tc>
          <w:tcPr>
            <w:tcW w:w="1644"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1644" w:type="dxa"/>
            <w:shd w:val="clear" w:color="auto" w:fill="D9E1F2"/>
          </w:tcPr>
          <w:p>
            <w:pPr>
              <w:spacing w:before="60" w:after="60" w:line="240" w:lineRule="auto"/>
              <w:jc w:val="both"/>
            </w:pPr>
            <w:r>
              <w:rPr>
                <w:rFonts w:ascii="Times New Roman" w:hAnsi="Times New Roman"/>
                <w:b w:val="0"/>
                <w:color w:val="000000"/>
                <w:sz w:val="20"/>
              </w:rPr>
              <w:t>Prototipo funcional para el control y reporte de movimientos documentales.</w:t>
            </w:r>
          </w:p>
        </w:tc>
        <w:tc>
          <w:tcPr>
            <w:tcW w:w="1644"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644" w:type="dxa"/>
            <w:shd w:val="clear" w:color="auto" w:fill="D9E1F2"/>
          </w:tcPr>
          <w:p>
            <w:pPr>
              <w:spacing w:before="60" w:after="60" w:line="240" w:lineRule="auto"/>
              <w:jc w:val="both"/>
            </w:pPr>
            <w:r>
              <w:rPr>
                <w:rFonts w:ascii="Times New Roman" w:hAnsi="Times New Roman"/>
                <w:b w:val="0"/>
                <w:color w:val="000000"/>
                <w:sz w:val="20"/>
              </w:rPr>
              <w:t>Desarrollo de software y pruebas funcionales.</w:t>
            </w:r>
          </w:p>
        </w:tc>
        <w:tc>
          <w:tcPr>
            <w:tcW w:w="1695" w:type="dxa"/>
            <w:shd w:val="clear" w:color="auto" w:fill="D9E1F2"/>
          </w:tcPr>
          <w:p>
            <w:pPr>
              <w:spacing w:before="60" w:after="60" w:line="240" w:lineRule="auto"/>
              <w:jc w:val="both"/>
            </w:pPr>
            <w:r>
              <w:rPr>
                <w:rFonts w:ascii="Times New Roman" w:hAnsi="Times New Roman"/>
                <w:b w:val="0"/>
                <w:color w:val="000000"/>
                <w:sz w:val="20"/>
              </w:rPr>
              <w:t>Framework Wails, motor SQLite y equipo informático.</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3557"/>
        <w:gridCol w:w="523"/>
        <w:gridCol w:w="523"/>
        <w:gridCol w:w="523"/>
        <w:gridCol w:w="523"/>
        <w:gridCol w:w="523"/>
        <w:gridCol w:w="523"/>
        <w:gridCol w:w="523"/>
        <w:gridCol w:w="523"/>
        <w:gridCol w:w="523"/>
      </w:tblGrid>
      <w:tr>
        <w:tc>
          <w:tcPr>
            <w:tcW w:w="3557"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523" w:type="dxa"/>
            <w:shd w:val="clear" w:color="auto" w:fill="4472C4"/>
          </w:tcPr>
          <w:p>
            <w:pPr>
              <w:spacing w:before="60" w:after="60" w:line="240" w:lineRule="auto"/>
              <w:jc w:val="center"/>
            </w:pPr>
            <w:r>
              <w:rPr>
                <w:rFonts w:ascii="Times New Roman" w:hAnsi="Times New Roman"/>
                <w:b/>
                <w:color w:val="FFFFFF"/>
                <w:sz w:val="20"/>
              </w:rPr>
              <w:t>AGOSTO</w:t>
            </w:r>
          </w:p>
        </w:tc>
      </w:tr>
      <w:tr>
        <w:tc>
          <w:tcPr>
            <w:tcW w:w="3557"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r>
      <w:tr>
        <w:tc>
          <w:tcPr>
            <w:tcW w:w="3557" w:type="dxa"/>
            <w:shd w:val="clear" w:color="auto" w:fill="D9E1F2"/>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Implementación de la base de datos relacional en SQLite.</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Desarrollo de la interfaz gráfica y empaquetado con Wails.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557" w:type="dxa"/>
            <w:shd w:val="clear" w:color="auto" w:fill="FFFFFF"/>
          </w:tcPr>
          <w:p>
            <w:pPr>
              <w:spacing w:before="60" w:after="60" w:line="240" w:lineRule="auto"/>
              <w:jc w:val="both"/>
            </w:pPr>
            <w:r>
              <w:rPr>
                <w:rFonts w:ascii="Times New Roman" w:hAnsi="Times New Roman"/>
                <w:b w:val="0"/>
                <w:color w:val="000000"/>
                <w:sz w:val="20"/>
              </w:rPr>
              <w:t>Inducción institucional y capacitación en seguridad (SIAHO).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Registro y actualización de expedientes en hoja de cálculo.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557" w:type="dxa"/>
            <w:shd w:val="clear" w:color="auto" w:fill="FFFFFF"/>
          </w:tcPr>
          <w:p>
            <w:pPr>
              <w:spacing w:before="60" w:after="60" w:line="240" w:lineRule="auto"/>
              <w:jc w:val="both"/>
            </w:pPr>
            <w:r>
              <w:rPr>
                <w:rFonts w:ascii="Times New Roman" w:hAnsi="Times New Roman"/>
                <w:b w:val="0"/>
                <w:color w:val="000000"/>
                <w:sz w:val="20"/>
              </w:rPr>
              <w:t>Revisión y canalización de correspondencia presidencial.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557" w:type="dxa"/>
            <w:shd w:val="clear" w:color="auto" w:fill="D9E1F2"/>
          </w:tcPr>
          <w:p>
            <w:pPr>
              <w:spacing w:before="60" w:after="60" w:line="240" w:lineRule="auto"/>
              <w:jc w:val="both"/>
            </w:pPr>
            <w:r>
              <w:rPr>
                <w:rFonts w:ascii="Times New Roman" w:hAnsi="Times New Roman"/>
                <w:b w:val="0"/>
                <w:color w:val="000000"/>
                <w:sz w:val="20"/>
              </w:rPr>
              <w:t>Apoyo en generación de reportes y cierre administrativo.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8"/>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9"/>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Desde la perspectiva del investigador, el sistema propuesto debe priorizar información confiable y oportuna para apoyar las decisiones de la Presidencia.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line="360" w:lineRule="auto" w:after="0" w:before="0"/>
        <w:ind w:firstLine="709"/>
        <w:jc w:val="both"/>
      </w:pPr>
      <w:r>
        <w:rPr>
          <w:rFonts w:ascii="Times New Roman" w:hAnsi="Times New Roman"/>
          <w:i w:val="0"/>
          <w:sz w:val="24"/>
        </w:rPr>
        <w:t>En Venangocupet, la gestión documental debe reflejar el recorrido real de cada expediente, desde su recepción hasta su despacho, sin agregar pasos que no correspondan al proceso.</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line="360" w:lineRule="auto" w:after="0" w:before="0"/>
        <w:ind w:firstLine="709"/>
        <w:jc w:val="both"/>
      </w:pPr>
      <w:r>
        <w:rPr>
          <w:rFonts w:ascii="Times New Roman" w:hAnsi="Times New Roman"/>
          <w:i w:val="0"/>
          <w:sz w:val="24"/>
        </w:rPr>
        <w:t>A juicio de quien suscribe, el modelo relacional resulta adecuado porque representa la relación entre procesos y documentos sin duplicar la información que se necesita consultar.</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line="360" w:lineRule="auto" w:after="0" w:before="0"/>
        <w:ind w:firstLine="709"/>
        <w:jc w:val="both"/>
      </w:pPr>
      <w:r>
        <w:rPr>
          <w:rFonts w:ascii="Times New Roman" w:hAnsi="Times New Roman"/>
          <w:i w:val="0"/>
          <w:sz w:val="24"/>
        </w:rPr>
        <w:t>La selección de SQLite se fundamenta en las condiciones reales del entorno de Presidencia, donde se requiere una solución portable y funcional sin depender de una infraestructura de servidor.</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line="360" w:lineRule="auto" w:after="0" w:before="0"/>
        <w:ind w:firstLine="709"/>
        <w:jc w:val="both"/>
      </w:pPr>
      <w:r>
        <w:rPr>
          <w:rFonts w:ascii="Times New Roman" w:hAnsi="Times New Roman"/>
          <w:i w:val="0"/>
          <w:sz w:val="24"/>
        </w:rPr>
        <w:t>Para este proyecto, la trazabilidad es el elemento que permite demostrar qué ocurrió con cada expediente y ofrecer respuestas verificables a la dirección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line="360" w:lineRule="auto" w:after="0" w:before="0"/>
        <w:ind w:firstLine="709"/>
        <w:jc w:val="both"/>
      </w:pPr>
      <w:r>
        <w:rPr>
          <w:rFonts w:ascii="Times New Roman" w:hAnsi="Times New Roman"/>
          <w:i w:val="0"/>
          <w:sz w:val="24"/>
        </w:rPr>
        <w:t>Desde la posición del investigador, automatizar el registro y los reportes permite que el personal dedique más tiempo a revisar y coordinar los expedientes, en lugar de copiar datos manualmente.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pacing w:line="360" w:lineRule="auto" w:after="0" w:before="0"/>
        <w:ind w:firstLine="709"/>
        <w:jc w:val="both"/>
      </w:pPr>
      <w:r>
        <w:rPr>
          <w:rFonts w:ascii="Times New Roman" w:hAnsi="Times New Roman"/>
          <w:i w:val="0"/>
          <w:sz w:val="24"/>
        </w:rPr>
        <w:t>La modalidad de proyecto factible se ajusta a este trabajo porque el diagnóstico del flujo documental culmina en un prototipo desarrollado y validado según las necesidades de Presidencia.</w:t>
      </w:r>
    </w:p>
    <w:p>
      <w:pPr>
        <w:sectPr>
          <w:footerReference w:type="default" r:id="rId4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41"/>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42"/>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3"/>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4"/>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5"/>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[Árbol del problema del control de movimientos documentales]</w:t>
      </w:r>
    </w:p>
    <w:p>
      <w:pPr>
        <w:jc w:val="center"/>
      </w:pPr>
      <w:r>
        <w:drawing>
          <wp:inline xmlns:a="http://schemas.openxmlformats.org/drawingml/2006/main" xmlns:pic="http://schemas.openxmlformats.org/drawingml/2006/picture">
            <wp:extent cx="5040000" cy="2949761"/>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5040000" cy="2949761"/>
                    </a:xfrm>
                    <a:prstGeom prst="rect"/>
                  </pic:spPr>
                </pic:pic>
              </a:graphicData>
            </a:graphic>
          </wp:inline>
        </w:drawing>
      </w:r>
    </w:p>
    <w:sectPr w:rsidR="00FC693F" w:rsidRPr="0006063C" w:rsidSect="00034616">
      <w:footerReference w:type="default" r:id="rId46"/>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 Id="rId43" Type="http://schemas.openxmlformats.org/officeDocument/2006/relationships/footer" Target="footer31.xml"/><Relationship Id="rId44" Type="http://schemas.openxmlformats.org/officeDocument/2006/relationships/footer" Target="footer32.xml"/><Relationship Id="rId45" Type="http://schemas.openxmlformats.org/officeDocument/2006/relationships/footer" Target="footer33.xml"/><Relationship Id="rId46" Type="http://schemas.openxmlformats.org/officeDocument/2006/relationships/footer" Target="footer3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