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08 al 12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Formalizar el inicio de las pasantías dentro de la modalidad institucional en el puesto habitual de trabajo y delimitar los tiempos de investigación.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Formalización del inicio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Reunión con la gerencia general y el tutor industrial para consignar los formatos institucionales del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Cartas de postulación, plan institucional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Alineación de objetivos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Vincular las metas del proyecto técnico con las funciones contables y de compra que ya ejecuta en su día a día.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Manual de procesos,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Establecimiento de tiempos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los bloques horarios de la jornada diaria dedicados exclusivamente a la recolección de datos y revisión de expedientes.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Calendario laboral, agenda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metodológica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los lineamientos del instituto con el tutor para asegurar el correcto resguardo confidencial de la información empresarial.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Normativa IUTECP, documentos internos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Apertura del cuaderno de campo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la libreta de registro técnico para documentar los eventos específicos observados durante la jornada.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apuntes, papelería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Acta de inicio de pasantías visada por la empresa y cronograma operativo validado por el tutor industrial.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trabajadora y ahora pasante Keidy Guzmán formalizó el inicio de su período académico en su puesto habitual del área de procura. Mantiene su excelente desempeño y puntualidad, coordinando eficientemente sus obligaciones rutinarias con el levantamiento del proyecto.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