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Estructurar las causas de las fallas del departamento en un diagrama de Ishikawa y fundamentar conceptualmente el proyecto.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Dividir las causas de retrasos en las categorías de métodos, herramientas o factor humano.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del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en papel la estructura del diagrama de espina de pescado (causas y efectos).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Lápiz, papel, regla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Digitalización del gráfico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limpio el diagrama de espina de pescado usando herramientas de la computadora.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Lectura de manuales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libros de administración y control de compras para fundamentar conceptualmente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administración, guías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de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 conclusión final del diagnóstico situacional del departamento para el informe.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digital y primer borrador del marco teórico del informe.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El diagrama causa-efecto quedó muy claro y adaptado a nuestra oficina. El soporte teórico recopilado es pertinente con lo exigido para el nivel técnico.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