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Analizar el impacto de las deficiencias detectadas y consolidar las bases teóricas del informe.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Procesamiento de pagos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la conciliación y registro de pagos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Comprobantes, hoja de cálculo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preparación y verificación de documentos de facturación.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Facturas,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casos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incidencias y solicitudes pendientes para comparar tiempos de atención.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impacto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Relacionar los retrasos con problemas de trazabilidad y atención al suscriptor.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matriz de análisis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Marco teórico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Completar y revisar las bases teóricas y referencias utilizadas.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Análisis de impacto y Capítulo III en versión preliminar.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