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before="2100"/>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31.985.792</w:t>
      </w:r>
    </w:p>
    <w:p>
      <w:pPr>
        <w:spacing w:before="1240"/>
        <w:jc w:val="center"/>
      </w:pPr>
      <w:r>
        <w:rPr>
          <w:rFonts w:ascii="Times New Roman" w:hAnsi="Times New Roman"/>
          <w:sz w:val="24"/>
        </w:rPr>
        <w:t>El Tigre, agosto de 2026</w:t>
      </w:r>
    </w:p>
    <w:p>
      <w:pPr>
        <w:sectPr>
          <w:footerReference w:type="default" r:id="rId15"/>
          <w:footerReference w:type="first" r:id="rId16"/>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360"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Mata, Lenny</w:t>
              <w:br/>
            </w:r>
            <w:r>
              <w:rPr>
                <w:rFonts w:ascii="Times New Roman" w:hAnsi="Times New Roman"/>
                <w:b w:val="0"/>
                <w:sz w:val="24"/>
              </w:rPr>
              <w:t>C.I.: 8969750</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Dra. Álvarez, Carmen</w:t>
              <w:br/>
            </w:r>
            <w:r>
              <w:rPr>
                <w:rFonts w:ascii="Times New Roman" w:hAnsi="Times New Roman"/>
                <w:b w:val="0"/>
                <w:sz w:val="24"/>
              </w:rPr>
              <w:t>C.I.: 14.452.956</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31.985.792</w:t>
            </w:r>
          </w:p>
        </w:tc>
      </w:tr>
    </w:tbl>
    <w:p>
      <w:pPr>
        <w:spacing w:before="800"/>
        <w:jc w:val="center"/>
      </w:pPr>
      <w:r>
        <w:rPr>
          <w:rFonts w:ascii="Times New Roman" w:hAnsi="Times New Roman"/>
          <w:sz w:val="24"/>
        </w:rPr>
        <w:t>El Tigre, agosto de 2026</w:t>
      </w:r>
    </w:p>
    <w:p>
      <w:pPr>
        <w:sectPr>
          <w:footerReference w:type="default" r:id="rId17"/>
          <w:footerReference w:type="first" r:id="rId18"/>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9"/>
          <w:footerReference w:type="first" r:id="rId20"/>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21"/>
          <w:footerReference w:type="first" r:id="rId22"/>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viii</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x</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footerReference w:type="first" r:id="rId24"/>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footerReference w:type="first" r:id="rId26"/>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7"/>
          <w:footerReference w:type="first" r:id="rId28"/>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footerReference w:type="first" r:id="rId30"/>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120" w:after="200" w:line="240" w:lineRule="auto"/>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V-31.985.792</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31"/>
          <w:footerReference w:type="first" r:id="rId32"/>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footerReference w:type="first" r:id="rId34"/>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y articula los niveles directivos, administrativos, comerciales y técnicos. A la cabeza se encuentra la Presidencia, seguida de la Gerencia General y Operaciones. A continuación se presentan el organigrama general de la empresa y el organigrama del área administrativa vinculada con la pasantía.</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0"/>
        </w:rPr>
        <w:t xml:space="preserve">Gráfico 3. </w:t>
      </w:r>
      <w:r>
        <w:rPr>
          <w:rFonts w:ascii="Times New Roman" w:hAnsi="Times New Roman"/>
          <w:b/>
          <w:sz w:val="20"/>
        </w:rPr>
        <w:t>Organigrama del Departamento de Administración.</w:t>
      </w:r>
      <w:bookmarkEnd w:id="bm_grafico3"/>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La experiencia de pasantía comprendió una rotación inicial por Atención al Cliente durante las primeras tres semanas y, posteriormente, la incorporación al área de Administración. Esta secuencia permitió conocer el recorrido de las solicitudes desde el contacto inicial con el suscriptor hasta su tratamiento administrativo y coordinación con las unidades técnicas.</w:t>
      </w:r>
    </w:p>
    <w:p>
      <w:pPr>
        <w:spacing w:line="360" w:lineRule="auto" w:after="0" w:before="0"/>
        <w:ind w:firstLine="709"/>
        <w:jc w:val="both"/>
      </w:pPr>
      <w:r>
        <w:rPr>
          <w:rFonts w:ascii="Times New Roman" w:hAnsi="Times New Roman"/>
          <w:i w:val="0"/>
          <w:sz w:val="24"/>
        </w:rPr>
        <w:t>En el ámbito administrativo se observaron funciones relacionadas con Supervisión de Administración, Contabilidad y Tributos; Compras y Facturación; y Atención al Cliente. Las actividades incluyeron recepción y registro de solicitudes, revisión de recaudos, seguimiento de incidencias y afiliaciones, apoyo en facturación y archivo, así como coordinación de información con otras áreas de IDETEL.</w:t>
      </w:r>
    </w:p>
    <w:p>
      <w:pPr>
        <w:sectPr>
          <w:footerReference w:type="default" r:id="rId35"/>
          <w:footerReference w:type="first" r:id="rId36"/>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w:t>
      </w:r>
    </w:p>
    <w:p>
      <w:bookmarkStart w:id="bm_cap2" w:name="bm_cap2"/>
      <w:pPr>
        <w:spacing w:before="0" w:after="480" w:line="360" w:lineRule="auto"/>
        <w:jc w:val="center"/>
      </w:pPr>
      <w:r>
        <w:rPr>
          <w:rFonts w:ascii="Times New Roman" w:hAnsi="Times New Roman"/>
          <w:b/>
          <w:sz w:val="24"/>
        </w:rPr>
        <w:t>DIAGNÓSTICO SITUACIONAL</w:t>
      </w:r>
      <w:bookmarkEnd w:id="bm_cap2"/>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0"/>
        </w:rPr>
        <w:t xml:space="preserve">Cuadro 1. </w:t>
      </w:r>
      <w:r>
        <w:rPr>
          <w:rFonts w:ascii="Times New Roman" w:hAnsi="Times New Roman"/>
          <w:i/>
          <w:sz w:val="20"/>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0"/>
        </w:rPr>
        <w:t xml:space="preserve">Cuadro 2. </w:t>
      </w:r>
      <w:r>
        <w:rPr>
          <w:rFonts w:ascii="Times New Roman" w:hAnsi="Times New Roman"/>
          <w:i/>
          <w:sz w:val="20"/>
        </w:rPr>
        <w:t>Cronograma de actividades de la pasantía.</w:t>
      </w:r>
      <w:bookmarkEnd w:id="bm_cuadro2"/>
    </w:p>
    <w:tbl>
      <w:tblPr>
        <w:tblStyle w:val="TableGrid"/>
        <w:tblW w:type="auto" w:w="0"/>
        <w:jc w:val="center"/>
        <w:tblLook w:firstColumn="1" w:firstRow="1" w:lastColumn="0" w:lastRow="0" w:noHBand="0" w:noVBand="1" w:val="04A0"/>
        <w:tblLayout w:type="fixed"/>
      </w:tblPr>
      <w:tblGrid>
        <w:gridCol w:w="2703"/>
        <w:gridCol w:w="556"/>
        <w:gridCol w:w="556"/>
        <w:gridCol w:w="556"/>
        <w:gridCol w:w="556"/>
        <w:gridCol w:w="556"/>
        <w:gridCol w:w="556"/>
        <w:gridCol w:w="556"/>
        <w:gridCol w:w="556"/>
        <w:gridCol w:w="556"/>
        <w:gridCol w:w="556"/>
      </w:tblGrid>
      <w:tr>
        <w:tc>
          <w:tcPr>
            <w:tcW w:w="2703" w:type="dxa"/>
            <w:shd w:val="clear" w:color="auto" w:fill="4472C4"/>
          </w:tcPr>
          <w:p>
            <w:pPr>
              <w:spacing w:before="60" w:after="60" w:line="240" w:lineRule="auto"/>
              <w:jc w:val="center"/>
            </w:pPr>
            <w:r>
              <w:rPr>
                <w:rFonts w:ascii="Times New Roman" w:hAnsi="Times New Roman"/>
                <w:b/>
                <w:color w:val="FFFFFF"/>
                <w:sz w:val="20"/>
              </w:rPr>
              <w:t>Semana</w:t>
            </w:r>
          </w:p>
        </w:tc>
        <w:tc>
          <w:tcPr>
            <w:tcW w:w="2780" w:type="dxa"/>
            <w:gridSpan w:val="5"/>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56" w:type="dxa"/>
            <w:shd w:val="clear" w:color="auto" w:fill="4472C4"/>
          </w:tcPr>
          <w:p>
            <w:pPr>
              <w:spacing w:before="60" w:after="60" w:line="240" w:lineRule="auto"/>
              <w:jc w:val="center"/>
            </w:pPr>
            <w:r>
              <w:rPr>
                <w:rFonts w:ascii="Times New Roman" w:hAnsi="Times New Roman"/>
                <w:b/>
                <w:color w:val="FFFFFF"/>
                <w:sz w:val="20"/>
              </w:rPr>
              <w:t>AGOSTO</w:t>
            </w:r>
          </w:p>
        </w:tc>
      </w:tr>
      <w:tr>
        <w:tc>
          <w:tcPr>
            <w:tcW w:w="270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5</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r>
      <w:tr>
        <w:tc>
          <w:tcPr>
            <w:tcW w:w="270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r>
        <w:tc>
          <w:tcPr>
            <w:tcW w:w="270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bl>
    <w:p/>
    <w:p>
      <w:pPr>
        <w:sectPr>
          <w:footerReference w:type="default" r:id="rId37"/>
          <w:footerReference w:type="first" r:id="rId38"/>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III</w:t>
      </w:r>
    </w:p>
    <w:p>
      <w:bookmarkStart w:id="bm_cap3" w:name="bm_cap3"/>
      <w:pPr>
        <w:spacing w:before="0" w:after="480" w:line="360" w:lineRule="auto"/>
        <w:jc w:val="center"/>
      </w:pPr>
      <w:r>
        <w:rPr>
          <w:rFonts w:ascii="Times New Roman" w:hAnsi="Times New Roman"/>
          <w:b/>
          <w:sz w:val="24"/>
        </w:rPr>
        <w:t>MARCO TEÓRICO</w:t>
      </w:r>
      <w:bookmarkEnd w:id="bm_cap3"/>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9"/>
          <w:footerReference w:type="first" r:id="rId40"/>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IV</w:t>
      </w:r>
    </w:p>
    <w:p>
      <w:bookmarkStart w:id="bm_cap4" w:name="bm_cap4"/>
      <w:pPr>
        <w:spacing w:before="0" w:after="480" w:line="360" w:lineRule="auto"/>
        <w:jc w:val="center"/>
      </w:pPr>
      <w:r>
        <w:rPr>
          <w:rFonts w:ascii="Times New Roman" w:hAnsi="Times New Roman"/>
          <w:b/>
          <w:sz w:val="24"/>
        </w:rPr>
        <w:t>ACTIVIDADES REALIZADAS</w:t>
      </w:r>
      <w:bookmarkEnd w:id="bm_cap4"/>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41"/>
          <w:footerReference w:type="first" r:id="rId42"/>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Parasuraman, A., Zeithaml, V., y Berry, L. (1988). </w:t>
      </w:r>
      <w:r>
        <w:rPr>
          <w:rFonts w:ascii="Times New Roman" w:hAnsi="Times New Roman"/>
          <w:b/>
          <w:sz w:val="24"/>
        </w:rPr>
        <w:t>SERVQUAL: A multiple-item scale for measuring consumer perceptions of service quality</w:t>
      </w:r>
      <w:r>
        <w:rPr>
          <w:rFonts w:ascii="Times New Roman" w:hAnsi="Times New Roman"/>
          <w:b w:val="0"/>
          <w:sz w:val="24"/>
        </w:rPr>
        <w:t>. Journal of Retailing, 64(1), 12-40.</w:t>
      </w:r>
    </w:p>
    <w:p>
      <w:pPr>
        <w:spacing w:line="240" w:lineRule="auto" w:after="480" w:before="0"/>
        <w:ind w:left="425" w:hanging="425"/>
        <w:jc w:val="both"/>
      </w:pPr>
      <w:r>
        <w:rPr>
          <w:rFonts w:ascii="Times New Roman" w:hAnsi="Times New Roman"/>
          <w:b w:val="0"/>
          <w:sz w:val="24"/>
        </w:rPr>
        <w:t xml:space="preserve">Robbins, S., y Coulter, M. (2010). </w:t>
      </w:r>
      <w:r>
        <w:rPr>
          <w:rFonts w:ascii="Times New Roman" w:hAnsi="Times New Roman"/>
          <w:b/>
          <w:sz w:val="24"/>
        </w:rPr>
        <w:t>Administración (10ma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pacing w:line="240" w:lineRule="auto" w:after="480" w:before="0"/>
        <w:ind w:left="425" w:hanging="425"/>
        <w:jc w:val="both"/>
      </w:pPr>
      <w:r>
        <w:rPr>
          <w:rFonts w:ascii="Times New Roman" w:hAnsi="Times New Roman"/>
          <w:b w:val="0"/>
          <w:sz w:val="24"/>
        </w:rPr>
        <w:t xml:space="preserve">Zeithaml, V., Parasuraman, A., y Berry, L. (1993). </w:t>
      </w:r>
      <w:r>
        <w:rPr>
          <w:rFonts w:ascii="Times New Roman" w:hAnsi="Times New Roman"/>
          <w:b/>
          <w:sz w:val="24"/>
        </w:rPr>
        <w:t>Calidad total en la gestión de servicios</w:t>
      </w:r>
      <w:r>
        <w:rPr>
          <w:rFonts w:ascii="Times New Roman" w:hAnsi="Times New Roman"/>
          <w:b w:val="0"/>
          <w:sz w:val="24"/>
        </w:rPr>
        <w:t>. Díaz de Santos, España.</w:t>
      </w:r>
    </w:p>
    <w:p>
      <w:pPr>
        <w:sectPr>
          <w:footerReference w:type="default" r:id="rId43"/>
          <w:footerReference w:type="first" r:id="rId44"/>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45"/>
          <w:footerReference w:type="first" r:id="rId46"/>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5040000" cy="22990909"/>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5040000" cy="22990909"/>
                    </a:xfrm>
                    <a:prstGeom prst="rect"/>
                  </pic:spPr>
                </pic:pic>
              </a:graphicData>
            </a:graphic>
          </wp:inline>
        </w:drawing>
      </w:r>
    </w:p>
    <w:sectPr w:rsidR="00FC693F" w:rsidRPr="0006063C" w:rsidSect="00034616">
      <w:footerReference w:type="default" r:id="rId47"/>
      <w:footerReference w:type="first" r:id="rId48"/>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 Id="rId45" Type="http://schemas.openxmlformats.org/officeDocument/2006/relationships/footer" Target="footer31.xml"/><Relationship Id="rId46" Type="http://schemas.openxmlformats.org/officeDocument/2006/relationships/footer" Target="footer32.xml"/><Relationship Id="rId47" Type="http://schemas.openxmlformats.org/officeDocument/2006/relationships/footer" Target="footer33.xml"/><Relationship Id="rId48"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