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40" w:lineRule="auto" w:before="2100"/>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p>
      <w:pPr>
        <w:spacing w:before="124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360"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Ing. Sabaneta, Yasmin</w:t>
              <w:br/>
            </w:r>
            <w:r>
              <w:rPr>
                <w:rFonts w:ascii="Times New Roman" w:hAnsi="Times New Roman"/>
                <w:b w:val="0"/>
                <w:sz w:val="24"/>
              </w:rPr>
              <w:t>C.I.: 14.187.924</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Ing. Mejías, José</w:t>
              <w:br/>
            </w:r>
            <w:r>
              <w:rPr>
                <w:rFonts w:ascii="Times New Roman" w:hAnsi="Times New Roman"/>
                <w:b w:val="0"/>
                <w:sz w:val="24"/>
              </w:rPr>
              <w:t>C.I.: 4.273.815</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tc>
      </w:tr>
    </w:tbl>
    <w:p>
      <w:pPr>
        <w:spacing w:before="800"/>
        <w:jc w:val="center"/>
      </w:pPr>
      <w:r>
        <w:rPr>
          <w:rFonts w:ascii="Times New Roman" w:hAnsi="Times New Roman"/>
          <w:sz w:val="24"/>
        </w:rPr>
        <w:t>El Tigre, agosto de 2026</w:t>
      </w:r>
    </w:p>
    <w:p>
      <w:pPr>
        <w:sectPr>
          <w:footerReference w:type="default" r:id="rId16"/>
          <w:footerReference w:type="first" r:id="rId17"/>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line="360" w:lineRule="auto"/>
        <w:jc w:val="center"/>
      </w:pPr>
      <w:r>
        <w:rPr>
          <w:rFonts w:ascii="Times New Roman" w:hAnsi="Times New Roman"/>
          <w:b/>
          <w:sz w:val="24"/>
        </w:rPr>
        <w:t>AGRADECIMIENTOS</w:t>
      </w:r>
      <w:bookmarkEnd w:id="bm_agradecimientos"/>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dedicatoria" w:name="bm_dedicatoria"/>
      <w:pPr>
        <w:spacing w:before="1140" w:after="480" w:line="360" w:lineRule="auto"/>
        <w:jc w:val="center"/>
      </w:pPr>
      <w:r>
        <w:rPr>
          <w:rFonts w:ascii="Times New Roman" w:hAnsi="Times New Roman"/>
          <w:b/>
          <w:sz w:val="24"/>
        </w:rPr>
        <w:t>DEDICATORIA</w:t>
      </w:r>
      <w:bookmarkEnd w:id="bm_dedicatoria"/>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footerReference w:type="first" r:id="rId31"/>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footerReference w:type="first" r:id="rId33"/>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DESARROLLO DE UN PROTOTIPO DE SISTEMA AUTOMATIZADO PARA EL CONTROL, TRAZABILIDAD Y REPORTE DOCUMENTAL EN LA PRESIDENCIA DE VENANGOCUPET, S.A.</w:t>
      </w:r>
    </w:p>
    <w:p>
      <w:pPr>
        <w:spacing w:before="120" w:after="200"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V-32.281.199</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4"/>
          <w:footerReference w:type="first" r:id="rId35"/>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6"/>
          <w:footerReference w:type="first" r:id="rId37"/>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Referencia cartográfica de la ubicación de las oficinas administrativas de Venangocupet, S.A.</w:t>
      </w:r>
      <w:bookmarkEnd w:id="bm_grafico1"/>
    </w:p>
    <w:p>
      <w:pPr>
        <w:spacing w:before="0" w:after="24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Presidente</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Secretaría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bl>
    <w:p>
      <w:pPr>
        <w:spacing w:before="120"/>
      </w:pPr>
      <w:r>
        <w:rPr>
          <w:rFonts w:ascii="Times New Roman" w:hAnsi="Times New Roman"/>
          <w:i/>
          <w:sz w:val="20"/>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A continuación se presentan el organigrama general de la empresa y el organigrama específico del Departamento de Presidencia, área donde se desarrollaron las pasantías.</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Venangocupet, S.A.</w:t>
      </w:r>
      <w:bookmarkEnd w:id="bm_grafico2"/>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Presidencia.</w:t>
      </w:r>
      <w:bookmarkEnd w:id="bm_grafico3"/>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de Presidencia funciona como unidad de tránsito y validación de correspondencia ejecutiva. Recibe expedientes remitidos por otras dependencias, verifica aspectos ortográficos y de presentación, registra su ingreso, los canaliza para la firma del Presidente y, una vez firmados, registra el egreso y los despacha al departamento destinatario. La unidad no conserva de manera permanente los expedientes que transitan por ella, por lo que la exactitud del registro de cada movimiento resulta esencial para mantener la trazabilidad documental.</w:t>
      </w:r>
    </w:p>
    <w:p>
      <w:pPr>
        <w:spacing w:line="360" w:lineRule="auto" w:after="0" w:before="0"/>
        <w:ind w:firstLine="709"/>
        <w:jc w:val="both"/>
      </w:pPr>
      <w:r>
        <w:rPr>
          <w:rFonts w:ascii="Times New Roman" w:hAnsi="Times New Roman"/>
          <w:i w:val="0"/>
          <w:sz w:val="24"/>
        </w:rPr>
        <w:t>Durante la pasantía se apoyaron actividades relacionadas con este flujo y se analizó la forma en que el registro manual en hojas de cálculo influye en el control, la consulta y la generación de reportes sobre los movimientos documentales del área.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del desarrollo del sistema automatizado.</w:t>
      </w:r>
      <w:bookmarkEnd w:id="bm_cuadro2"/>
    </w:p>
    <w:tbl>
      <w:tblPr>
        <w:tblStyle w:val="TableGrid"/>
        <w:tblW w:type="auto" w:w="0"/>
        <w:jc w:val="center"/>
        <w:tblLook w:firstColumn="1" w:firstRow="1" w:lastColumn="0" w:lastRow="0" w:noHBand="0" w:noVBand="1" w:val="04A0"/>
        <w:tblLayout w:type="fixed"/>
      </w:tblPr>
      <w:tblGrid>
        <w:gridCol w:w="3260"/>
        <w:gridCol w:w="556"/>
        <w:gridCol w:w="556"/>
        <w:gridCol w:w="556"/>
        <w:gridCol w:w="556"/>
        <w:gridCol w:w="556"/>
        <w:gridCol w:w="556"/>
        <w:gridCol w:w="556"/>
        <w:gridCol w:w="556"/>
        <w:gridCol w:w="556"/>
      </w:tblGrid>
      <w:tr>
        <w:tc>
          <w:tcPr>
            <w:tcW w:w="3260" w:type="dxa"/>
            <w:shd w:val="clear" w:color="auto" w:fill="4472C4"/>
          </w:tcPr>
          <w:p>
            <w:pPr>
              <w:spacing w:before="60" w:after="60" w:line="240" w:lineRule="auto"/>
              <w:jc w:val="center"/>
            </w:pPr>
            <w:r>
              <w:rPr>
                <w:rFonts w:ascii="Times New Roman" w:hAnsi="Times New Roman"/>
                <w:b/>
                <w:color w:val="FFFFFF"/>
                <w:sz w:val="20"/>
              </w:rPr>
              <w:t>Semana</w:t>
            </w:r>
          </w:p>
        </w:tc>
        <w:tc>
          <w:tcPr>
            <w:tcW w:w="1668" w:type="dxa"/>
            <w:gridSpan w:val="3"/>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12"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260"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r>
      <w:tr>
        <w:tc>
          <w:tcPr>
            <w:tcW w:w="3260"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3260"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3260"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3260"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bl>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III</w:t>
      </w:r>
    </w:p>
    <w:p>
      <w:bookmarkStart w:id="bm_cap3" w:name="bm_cap3"/>
      <w:pPr>
        <w:spacing w:before="0" w:after="480" w:line="360" w:lineRule="auto"/>
        <w:jc w:val="center"/>
      </w:pPr>
      <w:r>
        <w:rPr>
          <w:rFonts w:ascii="Times New Roman" w:hAnsi="Times New Roman"/>
          <w:b/>
          <w:sz w:val="24"/>
        </w:rPr>
        <w:t>MARCO TEÓRICO</w:t>
      </w:r>
      <w:bookmarkEnd w:id="bm_cap3"/>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6"/>
          <w:footerReference w:type="first" r:id="rId47"/>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48"/>
      <w:footerReference w:type="first" r:id="rId49"/>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footer" Target="footer34.xml"/><Relationship Id="rId48" Type="http://schemas.openxmlformats.org/officeDocument/2006/relationships/footer" Target="footer35.xml"/><Relationship Id="rId49"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