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Redactar la propuesta de simplificación administrativa integrando el flujo, los formatos y los mecanismos de control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órdenes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el estatus de órdenes de compra activas.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y completar registros de proveedores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el flujo simplificado y la descripción del procedimiento.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 formatos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los formatos y la matriz de autorización como componentes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digitales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y control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 forma propuesta de seguimiento mediante indicadores.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Borrador completo de la propuesta de simplificación administrativa.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Actualizó los registros de proveedores con orden. El borrador de la propuesta presenta una estructura bien fundamentada.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