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PROPUESTA DE SIMPLIFICACIÓN ADMINISTRATIVA DE LA PROCURA EN LUBRICANTES Y EQUIPOS VARYNA, C.A.</w:t>
      </w:r>
    </w:p>
    <w:p>
      <w:pPr>
        <w:spacing w:line="240" w:lineRule="auto" w:before="2100"/>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28.706.352</w:t>
      </w:r>
    </w:p>
    <w:p>
      <w:pPr>
        <w:spacing w:before="1240"/>
        <w:jc w:val="center"/>
      </w:pPr>
      <w:r>
        <w:rPr>
          <w:rFonts w:ascii="Times New Roman" w:hAnsi="Times New Roman"/>
          <w:sz w:val="24"/>
        </w:rPr>
        <w:t>El Tigre, agosto de 2026</w:t>
      </w:r>
    </w:p>
    <w:p>
      <w:pPr>
        <w:sectPr>
          <w:footerReference w:type="default" r:id="rId12"/>
          <w:footerReference w:type="first" r:id="rId13"/>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PROPUESTA DE SIMPLIFICACIÓN ADMINISTRATIVA DE LA PROCURA EN LUBRICANTES Y EQUIPOS VARYNA, C.A.</w:t>
      </w:r>
    </w:p>
    <w:p>
      <w:pPr>
        <w:spacing w:line="360"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Rondón, Martina</w:t>
              <w:br/>
            </w:r>
            <w:r>
              <w:rPr>
                <w:rFonts w:ascii="Times New Roman" w:hAnsi="Times New Roman"/>
                <w:b w:val="0"/>
                <w:sz w:val="24"/>
              </w:rPr>
              <w:t>C.I.: 12.208.768</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Dra. Álvarez, Carmen</w:t>
              <w:br/>
            </w:r>
            <w:r>
              <w:rPr>
                <w:rFonts w:ascii="Times New Roman" w:hAnsi="Times New Roman"/>
                <w:b w:val="0"/>
                <w:sz w:val="24"/>
              </w:rPr>
              <w:t>C.I.: 14.452.956</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28.706.352</w:t>
            </w:r>
          </w:p>
        </w:tc>
      </w:tr>
    </w:tbl>
    <w:p>
      <w:pPr>
        <w:spacing w:before="800"/>
        <w:jc w:val="center"/>
      </w:pPr>
      <w:r>
        <w:rPr>
          <w:rFonts w:ascii="Times New Roman" w:hAnsi="Times New Roman"/>
          <w:sz w:val="24"/>
        </w:rPr>
        <w:t>El Tigre, agosto de 2026</w:t>
      </w:r>
    </w:p>
    <w:p>
      <w:pPr>
        <w:sectPr>
          <w:footerReference w:type="default" r:id="rId14"/>
          <w:footerReference w:type="first" r:id="rId15"/>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6"/>
          <w:footerReference w:type="first" r:id="rId17"/>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footerReference w:type="first" r:id="rId19"/>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viii</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x</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footerReference w:type="first" r:id="rId21"/>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footerReference w:type="first" r:id="rId23"/>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footerReference w:type="first" r:id="rId25"/>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footerReference w:type="first" r:id="rId27"/>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PROPUESTA DE SIMPLIFICACIÓN ADMINISTRATIVA DE LA PROCURA EN LUBRICANTES Y EQUIPOS VARYNA, C.A.</w:t>
      </w:r>
    </w:p>
    <w:p>
      <w:pPr>
        <w:spacing w:before="120" w:after="200" w:line="240" w:lineRule="auto"/>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V-28.706.352</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28"/>
          <w:footerReference w:type="first" r:id="rId29"/>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footerReference w:type="first" r:id="rId31"/>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20"/>
              </w:rPr>
              <w:t>Departamento / Área</w:t>
            </w:r>
          </w:p>
        </w:tc>
        <w:tc>
          <w:tcPr>
            <w:tcW w:w="2886" w:type="dxa"/>
            <w:shd w:fill="D9E2F3"/>
          </w:tcPr>
          <w:p>
            <w:pPr>
              <w:jc w:val="center"/>
            </w:pPr>
            <w:r/>
            <w:r>
              <w:rPr>
                <w:rFonts w:ascii="Times New Roman" w:hAnsi="Times New Roman"/>
                <w:b/>
                <w:sz w:val="20"/>
              </w:rPr>
              <w:t>Cargo</w:t>
            </w:r>
          </w:p>
        </w:tc>
        <w:tc>
          <w:tcPr>
            <w:tcW w:w="1134" w:type="dxa"/>
            <w:shd w:fill="D9E2F3"/>
          </w:tcPr>
          <w:p>
            <w:pPr>
              <w:jc w:val="center"/>
            </w:pPr>
            <w:r/>
            <w:r>
              <w:rPr>
                <w:rFonts w:ascii="Times New Roman" w:hAnsi="Times New Roman"/>
                <w:b/>
                <w:sz w:val="20"/>
              </w:rPr>
              <w:t>Femenino</w:t>
            </w:r>
          </w:p>
        </w:tc>
        <w:tc>
          <w:tcPr>
            <w:tcW w:w="1134" w:type="dxa"/>
            <w:shd w:fill="D9E2F3"/>
          </w:tcPr>
          <w:p>
            <w:pPr>
              <w:jc w:val="center"/>
            </w:pPr>
            <w:r/>
            <w:r>
              <w:rPr>
                <w:rFonts w:ascii="Times New Roman" w:hAnsi="Times New Roman"/>
                <w:b/>
                <w:sz w:val="20"/>
              </w:rPr>
              <w:t>Masculino</w:t>
            </w:r>
          </w:p>
        </w:tc>
        <w:tc>
          <w:tcPr>
            <w:tcW w:w="1134" w:type="dxa"/>
            <w:shd w:fill="D9E2F3"/>
          </w:tcPr>
          <w:p>
            <w:pPr>
              <w:jc w:val="center"/>
            </w:pPr>
            <w:r/>
            <w:r>
              <w:rPr>
                <w:rFonts w:ascii="Times New Roman" w:hAnsi="Times New Roman"/>
                <w:b/>
                <w:sz w:val="20"/>
              </w:rPr>
              <w:t>Total</w:t>
            </w:r>
          </w:p>
        </w:tc>
      </w:tr>
      <w:tr>
        <w:tc>
          <w:tcPr>
            <w:tcW w:type="dxa" w:w="1984"/>
          </w:tcPr>
          <w:p>
            <w:pPr>
              <w:jc w:val="left"/>
            </w:pPr>
            <w:r/>
            <w:r>
              <w:rPr>
                <w:rFonts w:ascii="Times New Roman" w:hAnsi="Times New Roman"/>
                <w:sz w:val="20"/>
              </w:rPr>
              <w:t>Alta Dirección</w:t>
            </w:r>
          </w:p>
        </w:tc>
        <w:tc>
          <w:tcPr>
            <w:tcW w:type="dxa" w:w="2886"/>
          </w:tcPr>
          <w:p>
            <w:pPr>
              <w:jc w:val="left"/>
            </w:pPr>
            <w:r/>
            <w:r>
              <w:rPr>
                <w:rFonts w:ascii="Times New Roman" w:hAnsi="Times New Roman"/>
                <w:sz w:val="20"/>
              </w:rPr>
              <w:t>Gerente General</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Dirección Operativa</w:t>
            </w:r>
          </w:p>
        </w:tc>
        <w:tc>
          <w:tcPr>
            <w:tcW w:type="dxa" w:w="2886"/>
          </w:tcPr>
          <w:p>
            <w:pPr>
              <w:jc w:val="left"/>
            </w:pPr>
            <w:r/>
            <w:r>
              <w:rPr>
                <w:rFonts w:ascii="Times New Roman" w:hAnsi="Times New Roman"/>
                <w:sz w:val="20"/>
              </w:rPr>
              <w:t>Gerente de Operaciones</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Control y Avance</w:t>
            </w:r>
          </w:p>
        </w:tc>
        <w:tc>
          <w:tcPr>
            <w:tcW w:type="dxa" w:w="2886"/>
          </w:tcPr>
          <w:p>
            <w:pPr>
              <w:jc w:val="left"/>
            </w:pPr>
            <w:r/>
            <w:r>
              <w:rPr>
                <w:rFonts w:ascii="Times New Roman" w:hAnsi="Times New Roman"/>
                <w:sz w:val="20"/>
              </w:rPr>
              <w:t>Gerente / Operaciones Morichal</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t>Administración (Área de Pasantía)</w:t>
            </w:r>
          </w:p>
        </w:tc>
        <w:tc>
          <w:tcPr>
            <w:tcW w:type="dxa" w:w="2886"/>
          </w:tcPr>
          <w:p>
            <w:pPr>
              <w:jc w:val="left"/>
            </w:pPr>
            <w:r/>
            <w:r>
              <w:rPr>
                <w:rFonts w:ascii="Times New Roman" w:hAnsi="Times New Roman"/>
                <w:sz w:val="20"/>
              </w:rPr>
              <w:t>Administración / Asistentes Administrativos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Control de Avance, Logística y Compras (Procura)</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Operarios, Sup. Patio, Mantenimiento y Logística</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t>Contratación y Adm. Contratos</w:t>
            </w:r>
          </w:p>
        </w:tc>
        <w:tc>
          <w:tcPr>
            <w:tcW w:type="dxa" w:w="2886"/>
          </w:tcPr>
          <w:p>
            <w:pPr>
              <w:jc w:val="left"/>
            </w:pPr>
            <w:r/>
            <w:r>
              <w:rPr>
                <w:rFonts w:ascii="Times New Roman" w:hAnsi="Times New Roman"/>
                <w:sz w:val="20"/>
              </w:rPr>
              <w:t>Gerente / Estimadores, Administradores, Planificadores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t>Recursos Humanos</w:t>
            </w:r>
          </w:p>
        </w:tc>
        <w:tc>
          <w:tcPr>
            <w:tcW w:type="dxa" w:w="2886"/>
          </w:tcPr>
          <w:p>
            <w:pPr>
              <w:jc w:val="left"/>
            </w:pPr>
            <w:r/>
            <w:r>
              <w:rPr>
                <w:rFonts w:ascii="Times New Roman" w:hAnsi="Times New Roman"/>
                <w:sz w:val="20"/>
              </w:rPr>
              <w:t>Gerente de RRHH-Laborales / Asistentes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t>Proyectos y Producción</w:t>
            </w:r>
          </w:p>
        </w:tc>
        <w:tc>
          <w:tcPr>
            <w:tcW w:type="dxa" w:w="2886"/>
          </w:tcPr>
          <w:p>
            <w:pPr>
              <w:jc w:val="left"/>
            </w:pPr>
            <w:r/>
            <w:r>
              <w:rPr>
                <w:rFonts w:ascii="Times New Roman" w:hAnsi="Times New Roman"/>
                <w:sz w:val="20"/>
              </w:rPr>
              <w:t>Gerentes de Proyecto, Optimización y Servicios</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Gerente Metalmecánico</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Ingeniería y Campo</w:t>
            </w:r>
          </w:p>
        </w:tc>
        <w:tc>
          <w:tcPr>
            <w:tcW w:type="dxa" w:w="2886"/>
          </w:tcPr>
          <w:p>
            <w:pPr>
              <w:jc w:val="left"/>
            </w:pPr>
            <w:r/>
            <w:r>
              <w:rPr>
                <w:rFonts w:ascii="Times New Roman" w:hAnsi="Times New Roman"/>
                <w:sz w:val="20"/>
              </w:rPr>
              <w:t>Ingenieros Residentes / Coordinadores (SIHO-A, Calidad)</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3</w:t>
            </w:r>
          </w:p>
        </w:tc>
        <w:tc>
          <w:tcPr>
            <w:tcW w:type="dxa" w:w="1134"/>
          </w:tcPr>
          <w:p>
            <w:pPr>
              <w:jc w:val="center"/>
            </w:pPr>
            <w:r/>
            <w:r>
              <w:rPr>
                <w:rFonts w:ascii="Times New Roman" w:hAnsi="Times New Roman"/>
                <w:sz w:val="20"/>
              </w:rPr>
              <w:t>5</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Inspectores (SIHO, Ambiente, Paramédicos, Calidad)</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4</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Supervisor de Obras, Operadores, Chóferes, Soldadores, Obreros</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10</w:t>
            </w:r>
          </w:p>
        </w:tc>
        <w:tc>
          <w:tcPr>
            <w:tcW w:type="dxa" w:w="1134"/>
          </w:tcPr>
          <w:p>
            <w:pPr>
              <w:jc w:val="center"/>
            </w:pPr>
            <w:r/>
            <w:r>
              <w:rPr>
                <w:rFonts w:ascii="Times New Roman" w:hAnsi="Times New Roman"/>
                <w:sz w:val="20"/>
              </w:rPr>
              <w:t>11</w:t>
            </w:r>
          </w:p>
        </w:tc>
      </w:tr>
      <w:tr>
        <w:tc>
          <w:tcPr>
            <w:tcW w:type="dxa" w:w="1984"/>
          </w:tcPr>
          <w:p>
            <w:pPr>
              <w:jc w:val="left"/>
            </w:pPr>
            <w:r/>
            <w:r>
              <w:rPr>
                <w:rFonts w:ascii="Times New Roman" w:hAnsi="Times New Roman"/>
                <w:sz w:val="20"/>
              </w:rPr>
              <w:t>TOTAL GENERAL</w:t>
            </w:r>
          </w:p>
        </w:tc>
        <w:tc>
          <w:tcPr>
            <w:tcW w:type="dxa" w:w="2886"/>
          </w:tcPr>
          <w:p>
            <w:pPr>
              <w:jc w:val="left"/>
            </w:pPr>
            <w:r/>
            <w:r>
              <w:rPr>
                <w:rFonts w:ascii="Times New Roman" w:hAnsi="Times New Roman"/>
                <w:sz w:val="20"/>
              </w:rPr>
            </w:r>
          </w:p>
        </w:tc>
        <w:tc>
          <w:tcPr>
            <w:tcW w:type="dxa" w:w="1134"/>
          </w:tcPr>
          <w:p>
            <w:pPr>
              <w:jc w:val="center"/>
            </w:pPr>
            <w:r/>
            <w:r>
              <w:rPr>
                <w:rFonts w:ascii="Times New Roman" w:hAnsi="Times New Roman"/>
                <w:sz w:val="20"/>
              </w:rPr>
              <w:t>14</w:t>
            </w:r>
          </w:p>
        </w:tc>
        <w:tc>
          <w:tcPr>
            <w:tcW w:type="dxa" w:w="1134"/>
          </w:tcPr>
          <w:p>
            <w:pPr>
              <w:jc w:val="center"/>
            </w:pPr>
            <w:r/>
            <w:r>
              <w:rPr>
                <w:rFonts w:ascii="Times New Roman" w:hAnsi="Times New Roman"/>
                <w:sz w:val="20"/>
              </w:rPr>
              <w:t>28</w:t>
            </w:r>
          </w:p>
        </w:tc>
        <w:tc>
          <w:tcPr>
            <w:tcW w:type="dxa" w:w="1134"/>
          </w:tcPr>
          <w:p>
            <w:pPr>
              <w:jc w:val="center"/>
            </w:pPr>
            <w:r/>
            <w:r>
              <w:rPr>
                <w:rFonts w:ascii="Times New Roman" w:hAnsi="Times New Roman"/>
                <w:sz w:val="20"/>
              </w:rPr>
              <w:t>42</w:t>
            </w:r>
          </w:p>
        </w:tc>
      </w:tr>
    </w:tbl>
    <w:p>
      <w:pPr>
        <w:spacing w:before="120"/>
      </w:pPr>
      <w:r>
        <w:rPr>
          <w:rFonts w:ascii="Times New Roman" w:hAnsi="Times New Roman"/>
          <w:i/>
          <w:sz w:val="20"/>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la organización.</w:t>
      </w:r>
      <w:bookmarkEnd w:id="bm_grafico2"/>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El Departamento Administrativo constituye el área donde se desarrolló la pasantía y concentra funciones de gestión financiera, presupuestaria, logística interna, control contable e inventarios. Dentro de esta unidad, la pasante se desempeñó como Asistente Administrativo con participación directa en actividades vinculadas con el área de Procura (Compras y Logística).</w:t>
      </w:r>
    </w:p>
    <w:p>
      <w:pPr>
        <w:spacing w:line="360" w:lineRule="auto" w:after="0" w:before="0"/>
        <w:ind w:firstLine="709"/>
        <w:jc w:val="both"/>
      </w:pPr>
      <w:r>
        <w:rPr>
          <w:rFonts w:ascii="Times New Roman" w:hAnsi="Times New Roman"/>
          <w:i w:val="0"/>
          <w:sz w:val="24"/>
        </w:rPr>
        <w:t>En procura se reciben requerimientos internos, se gestionan solicitudes de cotización, se comparan alternativas de proveedores, se tramitan requisiciones y órdenes de compra y se realiza seguimiento al estado de las adquisiciones. Estas funciones permitieron observar el recorrido administrativo de las solicitudes y detectar oportunidades de simplificación y fortalecimiento del control interno.</w:t>
      </w:r>
    </w:p>
    <w:p>
      <w:pPr>
        <w:sectPr>
          <w:footerReference w:type="default" r:id="rId32"/>
          <w:footerReference w:type="first" r:id="rId33"/>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w:t>
      </w:r>
    </w:p>
    <w:p>
      <w:bookmarkStart w:id="bm_cap2" w:name="bm_cap2"/>
      <w:pPr>
        <w:spacing w:before="0" w:after="480" w:line="360" w:lineRule="auto"/>
        <w:jc w:val="center"/>
      </w:pPr>
      <w:r>
        <w:rPr>
          <w:rFonts w:ascii="Times New Roman" w:hAnsi="Times New Roman"/>
          <w:b/>
          <w:sz w:val="24"/>
        </w:rPr>
        <w:t>DIAGNÓSTICO SITUACIONAL</w:t>
      </w:r>
      <w:bookmarkEnd w:id="bm_cap2"/>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0"/>
        </w:rPr>
        <w:t xml:space="preserve">Cuadro 1. </w:t>
      </w:r>
      <w:r>
        <w:rPr>
          <w:rFonts w:ascii="Times New Roman" w:hAnsi="Times New Roman"/>
          <w:i/>
          <w:sz w:val="20"/>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0"/>
        </w:rPr>
        <w:t xml:space="preserve">Cuadro 2. </w:t>
      </w:r>
      <w:r>
        <w:rPr>
          <w:rFonts w:ascii="Times New Roman" w:hAnsi="Times New Roman"/>
          <w:i/>
          <w:sz w:val="20"/>
        </w:rPr>
        <w:t>Cronograma de actividades de la pasantía.</w:t>
      </w:r>
      <w:bookmarkEnd w:id="bm_cuadro2"/>
    </w:p>
    <w:tbl>
      <w:tblPr>
        <w:tblStyle w:val="TableGrid"/>
        <w:tblW w:type="auto" w:w="0"/>
        <w:jc w:val="center"/>
        <w:tblLook w:firstColumn="1" w:firstRow="1" w:lastColumn="0" w:lastRow="0" w:noHBand="0" w:noVBand="1" w:val="04A0"/>
        <w:tblLayout w:type="fixed"/>
      </w:tblPr>
      <w:tblGrid>
        <w:gridCol w:w="2703"/>
        <w:gridCol w:w="556"/>
        <w:gridCol w:w="556"/>
        <w:gridCol w:w="556"/>
        <w:gridCol w:w="556"/>
        <w:gridCol w:w="556"/>
        <w:gridCol w:w="556"/>
        <w:gridCol w:w="556"/>
        <w:gridCol w:w="556"/>
        <w:gridCol w:w="556"/>
        <w:gridCol w:w="556"/>
      </w:tblGrid>
      <w:tr>
        <w:tc>
          <w:tcPr>
            <w:tcW w:w="270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12"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270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r>
      <w:tr>
        <w:tc>
          <w:tcPr>
            <w:tcW w:w="270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r>
        <w:tc>
          <w:tcPr>
            <w:tcW w:w="270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bl>
    <w:p/>
    <w:p>
      <w:pPr>
        <w:sectPr>
          <w:footerReference w:type="default" r:id="rId34"/>
          <w:footerReference w:type="first" r:id="rId35"/>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III</w:t>
      </w:r>
    </w:p>
    <w:p>
      <w:bookmarkStart w:id="bm_cap3" w:name="bm_cap3"/>
      <w:pPr>
        <w:spacing w:before="0" w:after="480" w:line="360" w:lineRule="auto"/>
        <w:jc w:val="center"/>
      </w:pPr>
      <w:r>
        <w:rPr>
          <w:rFonts w:ascii="Times New Roman" w:hAnsi="Times New Roman"/>
          <w:b/>
          <w:sz w:val="24"/>
        </w:rPr>
        <w:t>MARCO TEÓRICO</w:t>
      </w:r>
      <w:bookmarkEnd w:id="bm_cap3"/>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6"/>
          <w:footerReference w:type="first" r:id="rId37"/>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IV</w:t>
      </w:r>
    </w:p>
    <w:p>
      <w:bookmarkStart w:id="bm_cap4" w:name="bm_cap4"/>
      <w:pPr>
        <w:spacing w:before="0" w:after="480" w:line="360" w:lineRule="auto"/>
        <w:jc w:val="center"/>
      </w:pPr>
      <w:r>
        <w:rPr>
          <w:rFonts w:ascii="Times New Roman" w:hAnsi="Times New Roman"/>
          <w:b/>
          <w:sz w:val="24"/>
        </w:rPr>
        <w:t>ACTIVIDADES REALIZADAS</w:t>
      </w:r>
      <w:bookmarkEnd w:id="bm_cap4"/>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V</w:t>
      </w:r>
    </w:p>
    <w:p>
      <w:bookmarkStart w:id="bm_cap5" w:name="bm_cap5"/>
      <w:pPr>
        <w:spacing w:before="0" w:after="480" w:line="360" w:lineRule="auto"/>
        <w:jc w:val="center"/>
      </w:pPr>
      <w:r>
        <w:rPr>
          <w:rFonts w:ascii="Times New Roman" w:hAnsi="Times New Roman"/>
          <w:b/>
          <w:sz w:val="24"/>
        </w:rPr>
        <w:t>CONCLUSIONES Y RECOMENDACIONES</w:t>
      </w:r>
      <w:bookmarkEnd w:id="bm_cap5"/>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sectPr>
          <w:footerReference w:type="default" r:id="rId40"/>
          <w:footerReference w:type="first" r:id="rId41"/>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Mantilla, S. (2005). </w:t>
      </w:r>
      <w:r>
        <w:rPr>
          <w:rFonts w:ascii="Times New Roman" w:hAnsi="Times New Roman"/>
          <w:b/>
          <w:sz w:val="24"/>
        </w:rPr>
        <w:t>Control interno: Informe COSO (4ta ed.)</w:t>
      </w:r>
      <w:r>
        <w:rPr>
          <w:rFonts w:ascii="Times New Roman" w:hAnsi="Times New Roman"/>
          <w:b w:val="0"/>
          <w:sz w:val="24"/>
        </w:rPr>
        <w:t>. Ecoe Ediciones, Colombia.</w:t>
      </w:r>
    </w:p>
    <w:p>
      <w:pPr>
        <w:spacing w:line="240" w:lineRule="auto" w:after="480" w:before="0"/>
        <w:ind w:left="425" w:hanging="425"/>
        <w:jc w:val="both"/>
      </w:pPr>
      <w:r>
        <w:rPr>
          <w:rFonts w:ascii="Times New Roman" w:hAnsi="Times New Roman"/>
          <w:b w:val="0"/>
          <w:sz w:val="24"/>
        </w:rPr>
        <w:t xml:space="preserve">Monterroso, E. (2002). </w:t>
      </w:r>
      <w:r>
        <w:rPr>
          <w:rFonts w:ascii="Times New Roman" w:hAnsi="Times New Roman"/>
          <w:b/>
          <w:sz w:val="24"/>
        </w:rPr>
        <w:t>El proceso de abastecimiento: El aprovisionamiento</w:t>
      </w:r>
      <w:r>
        <w:rPr>
          <w:rFonts w:ascii="Times New Roman" w:hAnsi="Times New Roman"/>
          <w:b w:val="0"/>
          <w:sz w:val="24"/>
        </w:rPr>
        <w:t>. Universidad Nacional de Luján, Argentina.</w:t>
      </w:r>
    </w:p>
    <w:p>
      <w:pPr>
        <w:sectPr>
          <w:footerReference w:type="default" r:id="rId42"/>
          <w:footerReference w:type="first" r:id="rId43"/>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44"/>
          <w:footerReference w:type="first" r:id="rId45"/>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6"/>
      <w:footerReference w:type="first" r:id="rId47"/>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