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dentro de la modalidad institucional en el puesto habitual de trabajo y delimitar los tiempos de investigación.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del inicio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la gerencia general y el tutor industrial para consignar los formatos institucionales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Cartas de postulación, plan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Alineación de objetivos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Vincular las metas del proyecto técnico con las funciones contables y de compra que ya ejecuta en su día a día.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 de procesos,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Establecimiento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bloques horarios de la jornada diaria dedicados exclusivamente a la recolección de datos y revisión de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laboral, agenda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metodológica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lineamientos del instituto con el tutor para asegurar el correcto resguardo confidencial de la información empresarial.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IUTECP, documentos internos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Apertura del cuaderno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libreta de registro técnico para documentar los eventos específicos observados durante la jornada.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apuntes, papelería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de pasantías visada por la empresa y cronograma operativo validado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trabajadora y ahora pasante Keidy Guzmán formalizó el inicio de su período académico en su puesto habitual del área de procura. Mantiene su excelente desempeño y puntualidad, coordinando eficientemente sus obligaciones rutinarias con el levantamiento del proyecto.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