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pPr>
        <w:spacing w:line="360" w:lineRule="auto" w:after="0" w:before="0"/>
        <w:ind w:firstLine="709"/>
        <w:jc w:val="both"/>
      </w:pPr>
      <w:r>
        <w:rPr>
          <w:rFonts w:ascii="Times New Roman" w:hAnsi="Times New Roman"/>
          <w:i w:val="0"/>
          <w:sz w:val="24"/>
        </w:rPr>
        <w:t>El logotipo identifica visualmente a Ingeniería de Telecomunicaciones, C.A. y representa la imagen institucional de la empresa donde se desarrolló la pasantía profesional en las áreas de Atención al Cliente y Administración.</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2"/>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4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4860000" cy="22169805"/>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4860000" cy="22169805"/>
                    </a:xfrm>
                    <a:prstGeom prst="rect"/>
                  </pic:spPr>
                </pic:pic>
              </a:graphicData>
            </a:graphic>
          </wp:inline>
        </w:drawing>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 Id="rId44" Type="http://schemas.openxmlformats.org/officeDocument/2006/relationships/footer" Target="footer29.xml"/><Relationship Id="rId45" Type="http://schemas.openxmlformats.org/officeDocument/2006/relationships/footer" Target="footer30.xml"/><Relationship Id="rId46" Type="http://schemas.openxmlformats.org/officeDocument/2006/relationships/footer" Target="footer31.xml"/><Relationship Id="rId47"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