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agosto de 2026</w:t>
      </w:r>
    </w:p>
    <w:p>
      <w:pPr>
        <w:sectPr>
          <w:footerReference w:type="default" r:id="rId16"/>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agosto de 2026</w:t>
      </w:r>
    </w:p>
    <w:p>
      <w:pPr>
        <w:sectPr>
          <w:footerReference w:type="default" r:id="rId17"/>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563916"/>
            <wp:docPr id="2" name="Picture 2"/>
            <wp:cNvGraphicFramePr>
              <a:graphicFrameLocks noChangeAspect="1"/>
            </wp:cNvGraphicFramePr>
            <a:graphic>
              <a:graphicData uri="http://schemas.openxmlformats.org/drawingml/2006/picture">
                <pic:pic>
                  <pic:nvPicPr>
                    <pic:cNvPr id="0" name="firma_tutor_amaal.png"/>
                    <pic:cNvPicPr/>
                  </pic:nvPicPr>
                  <pic:blipFill>
                    <a:blip r:embed="rId10"/>
                    <a:stretch>
                      <a:fillRect/>
                    </a:stretch>
                  </pic:blipFill>
                  <pic:spPr>
                    <a:xfrm>
                      <a:off x="0" y="0"/>
                      <a:ext cx="1440000" cy="563916"/>
                    </a:xfrm>
                    <a:prstGeom prst="rect"/>
                  </pic:spPr>
                </pic:pic>
              </a:graphicData>
            </a:graphic>
          </wp:inline>
        </w:drawing>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8"/>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9"/>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0"/>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4"/>
          <w:pgSz w:w="12240" w:h="15840"/>
          <w:pgMar w:top="1701" w:right="1701" w:bottom="1701" w:left="2268" w:header="720" w:footer="720" w:gutter="0"/>
          <w:cols w:space="720"/>
          <w:titlePg/>
          <w:docGrid w:linePitch="360"/>
        </w:sectPr>
      </w:pPr>
    </w:p>
    <w:p>
      <w:pPr>
        <w:sectPr>
          <w:footerReference w:type="default" r:id="rId25"/>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Ingeniería de Telecomunicaciones, C.A.</w:t>
        <w:tab/>
      </w:r>
      <w:r>
        <w:rPr>
          <w:rFonts w:ascii="Times New Roman" w:hAnsi="Times New Roman"/>
          <w:b w:val="0"/>
          <w:sz w:val="24"/>
        </w:rPr>
        <w:fldChar w:fldCharType="begin"/>
        <w:instrText xml:space="preserve"> PAGEREF bm_grafico3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4</w:t>
        <w:tab/>
        <w:t>Organigrama del Departamento de Administración.</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propuesto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9"/>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after="480"/>
        <w:ind w:left="0"/>
        <w:jc w:val="right"/>
      </w:pPr>
      <w:r>
        <w:rPr>
          <w:rFonts w:ascii="Times New Roman" w:hAnsi="Times New Roman"/>
          <w:b/>
          <w:sz w:val="24"/>
        </w:rPr>
        <w:t>Autor:</w:t>
        <w:br/>
      </w:r>
      <w:r>
        <w:rPr>
          <w:rFonts w:ascii="Times New Roman" w:hAnsi="Times New Roman"/>
          <w:sz w:val="24"/>
        </w:rPr>
        <w:t>Alrifaai Alrifaaie, Amaal</w:t>
        <w:br/>
      </w:r>
      <w:r>
        <w:rPr>
          <w:rFonts w:ascii="Times New Roman" w:hAnsi="Times New Roman"/>
          <w:sz w:val="24"/>
        </w:rPr>
        <w:t>C.I.: 31.985.792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responsables, tiempos y estatus de cada caso. El objetivo general fue evaluar el control administrativo aplicado a la gestión de solicitudes de servicios de telecomunicaciones para identificar debilidades y formular mejoras. Se realizaron observaciones directas, revisión de registros, entrevistas estructuradas al personal y un análisis causa-efecto de las fallas detectadas. Posteriormente se diseñó un flujo estandarizado, formatos de control y criterios de seguimiento mediante indicadores básicos. Se concluye que la principal necesidad consiste en formalizar el recorrido de las solicitudes y centralizar la información necesaria para su seguimiento. Se recomienda implementar progresivamente el procedimiento propuesto, asignar responsables por etapa y revisar periódicamente los tiempos de respuesta para detectar desviaciones y oportunidades de mejora.</w:t>
      </w:r>
    </w:p>
    <w:p/>
    <w:p>
      <w:pPr>
        <w:ind w:firstLine="709"/>
      </w:pPr>
      <w:r>
        <w:rPr>
          <w:b/>
        </w:rPr>
        <w:t xml:space="preserve">Palabras claves: </w:t>
      </w:r>
      <w:r>
        <w:t>control administrativo, solicitudes de servicio, trazabilidad, telecomunicaciones, pasantías</w:t>
      </w:r>
    </w:p>
    <w:p>
      <w:pPr>
        <w:sectPr>
          <w:footerReference w:type="default" r:id="rId31"/>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2"/>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spacing w:line="360" w:lineRule="auto" w:after="0" w:before="0"/>
        <w:ind w:firstLine="709"/>
        <w:jc w:val="both"/>
      </w:pPr>
      <w:r>
        <w:rPr>
          <w:rFonts w:ascii="Times New Roman" w:hAnsi="Times New Roman"/>
          <w:i w:val="0"/>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spacing w:line="360" w:lineRule="auto" w:after="0" w:before="0"/>
        <w:ind w:firstLine="709"/>
        <w:jc w:val="both"/>
      </w:pPr>
      <w:r>
        <w:rPr>
          <w:rFonts w:ascii="Times New Roman" w:hAnsi="Times New Roman"/>
          <w:i w:val="0"/>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spacing w:line="360" w:lineRule="auto" w:after="0" w:before="0"/>
        <w:ind w:firstLine="709"/>
        <w:jc w:val="both"/>
      </w:pPr>
      <w:r>
        <w:rPr>
          <w:rFonts w:ascii="Times New Roman" w:hAnsi="Times New Roman"/>
          <w:i w:val="0"/>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4"/>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pPr>
        <w:spacing w:before="480"/>
        <w:jc w:val="center"/>
      </w:pPr>
      <w:r>
        <w:drawing>
          <wp:inline xmlns:a="http://schemas.openxmlformats.org/drawingml/2006/main" xmlns:pic="http://schemas.openxmlformats.org/drawingml/2006/picture">
            <wp:extent cx="1512000" cy="1512000"/>
            <wp:docPr id="3" name="Picture 3"/>
            <wp:cNvGraphicFramePr>
              <a:graphicFrameLocks noChangeAspect="1"/>
            </wp:cNvGraphicFramePr>
            <a:graphic>
              <a:graphicData uri="http://schemas.openxmlformats.org/drawingml/2006/picture">
                <pic:pic>
                  <pic:nvPicPr>
                    <pic:cNvPr id="0" name="logo.jpg"/>
                    <pic:cNvPicPr/>
                  </pic:nvPicPr>
                  <pic:blipFill>
                    <a:blip r:embed="rId11"/>
                    <a:stretch>
                      <a:fillRect/>
                    </a:stretch>
                  </pic:blipFill>
                  <pic:spPr>
                    <a:xfrm>
                      <a:off x="0" y="0"/>
                      <a:ext cx="1512000" cy="1512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Logotipo de Ingeniería de Telecomunicaciones, C.A.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Ingeniería de Telecomunicaciones, C.A. (2026).</w:t>
      </w:r>
    </w:p>
    <w:p>
      <w:pPr>
        <w:spacing w:line="360" w:lineRule="auto" w:after="0" w:before="0"/>
        <w:ind w:firstLine="709"/>
        <w:jc w:val="both"/>
      </w:pPr>
      <w:r>
        <w:rPr>
          <w:rFonts w:ascii="Times New Roman" w:hAnsi="Times New Roman"/>
          <w:i w:val="0"/>
          <w:sz w:val="24"/>
        </w:rPr>
        <w:t>El logotipo identifica visualmente a Ingeniería de Telecomunicaciones, C.A. y representa la imagen institucional de la empresa donde se desarrolló la pasantía profesional en las áreas de Atención al Cliente y Administración.</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4" name="Picture 4"/>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1800000" cy="1125000"/>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Ingeniería de Telecomunicaciones, C.A.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spacing w:line="360" w:lineRule="auto" w:after="0" w:before="0"/>
        <w:ind w:firstLine="709"/>
        <w:jc w:val="both"/>
      </w:pPr>
      <w:r>
        <w:rPr>
          <w:rFonts w:ascii="Times New Roman" w:hAnsi="Times New Roman"/>
          <w:i w:val="0"/>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5" name="Picture 5"/>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4320000" cy="1847904"/>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Ingeniería de Telecomunicaciones, C.A.</w:t>
      </w:r>
      <w:bookmarkEnd w:id="bm_grafico3"/>
    </w:p>
    <w:p>
      <w:pPr>
        <w:spacing w:before="480"/>
        <w:jc w:val="center"/>
      </w:pPr>
      <w:r>
        <w:drawing>
          <wp:inline xmlns:a="http://schemas.openxmlformats.org/drawingml/2006/main" xmlns:pic="http://schemas.openxmlformats.org/drawingml/2006/picture">
            <wp:extent cx="4320000" cy="2680292"/>
            <wp:docPr id="6" name="Picture 6"/>
            <wp:cNvGraphicFramePr>
              <a:graphicFrameLocks noChangeAspect="1"/>
            </wp:cNvGraphicFramePr>
            <a:graphic>
              <a:graphicData uri="http://schemas.openxmlformats.org/drawingml/2006/picture">
                <pic:pic>
                  <pic:nvPicPr>
                    <pic:cNvPr id="0" name="3.png"/>
                    <pic:cNvPicPr/>
                  </pic:nvPicPr>
                  <pic:blipFill>
                    <a:blip r:embed="rId14"/>
                    <a:stretch>
                      <a:fillRect/>
                    </a:stretch>
                  </pic:blipFill>
                  <pic:spPr>
                    <a:xfrm>
                      <a:off x="0" y="0"/>
                      <a:ext cx="4320000" cy="2680292"/>
                    </a:xfrm>
                    <a:prstGeom prst="rect"/>
                  </pic:spPr>
                </pic:pic>
              </a:graphicData>
            </a:graphic>
          </wp:inline>
        </w:drawing>
      </w:r>
    </w:p>
    <w:p>
      <w:bookmarkStart w:id="bm_grafico4" w:name="bm_grafico4"/>
      <w:pPr>
        <w:spacing w:before="120" w:after="480"/>
        <w:jc w:val="center"/>
      </w:pPr>
      <w:r>
        <w:rPr>
          <w:rFonts w:ascii="Times New Roman" w:hAnsi="Times New Roman"/>
          <w:i/>
          <w:sz w:val="24"/>
        </w:rPr>
        <w:t xml:space="preserve">Gráfico 4. </w:t>
      </w:r>
      <w:r>
        <w:rPr>
          <w:rFonts w:ascii="Times New Roman" w:hAnsi="Times New Roman"/>
          <w:b/>
          <w:sz w:val="24"/>
        </w:rPr>
        <w:t>Organigrama del Departamento de Administración.</w:t>
      </w:r>
      <w:bookmarkEnd w:id="bm_grafico4"/>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6"/>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las organizaciones de servicios, el control administrativo permite verificar que las solicitudes recibidas avancen por etapas definidas, cuenten con responsables identificados y dispongan de información suficiente para conocer su estado. Cuando ese recorrido depende de canales informales o registros no unificados, se incrementa la posibilidad de reprocesos y se dificulta responder oportunamente al usuario.</w:t>
      </w:r>
    </w:p>
    <w:p>
      <w:pPr>
        <w:spacing w:line="360" w:lineRule="auto" w:after="0" w:before="0"/>
        <w:ind w:firstLine="709"/>
        <w:jc w:val="both"/>
      </w:pPr>
      <w:r>
        <w:rPr>
          <w:rFonts w:ascii="Times New Roman" w:hAnsi="Times New Roman"/>
          <w:i w:val="0"/>
          <w:sz w:val="24"/>
        </w:rPr>
        <w:t>En el sector de telecomunicaciones, las solicitudes pueden involucrar atención al cliente, administración, comercialización, soporte y personal técnico. Por ello, la continuidad del servicio depende no solo de la ejecución técnica, sino también de que la información administrativa se transfiera de manera ordenada entre las áreas involucradas, especialmente en afiliaciones, pagos, incidencias y cierres de casos.</w:t>
      </w:r>
    </w:p>
    <w:p>
      <w:pPr>
        <w:spacing w:line="360" w:lineRule="auto" w:after="0" w:before="0"/>
        <w:ind w:firstLine="709"/>
        <w:jc w:val="both"/>
      </w:pPr>
      <w:r>
        <w:rPr>
          <w:rFonts w:ascii="Times New Roman" w:hAnsi="Times New Roman"/>
          <w:i w:val="0"/>
          <w:sz w:val="24"/>
        </w:rPr>
        <w:t>En Ingeniería de Telecomunicaciones, C.A. (IDETEL), la rotación realizada durante las pasantías permitió observar que las solicitudes de afiliación e incidencias no cuentan con un procedimiento único y formalizado de seguimiento desde su recepción hasta el cierre. Se identificaron registros no estandarizados, actualización desigual del estatus de los casos y dificultades para conocer en un mismo punto la información manejada por Atención al Cliente, Administración y las áreas técnicas.</w:t>
      </w:r>
    </w:p>
    <w:p>
      <w:pPr>
        <w:spacing w:line="360" w:lineRule="auto" w:after="0" w:before="0"/>
        <w:ind w:firstLine="709"/>
        <w:jc w:val="both"/>
      </w:pPr>
      <w:r>
        <w:rPr>
          <w:rFonts w:ascii="Times New Roman" w:hAnsi="Times New Roman"/>
          <w:i w:val="0"/>
          <w:sz w:val="24"/>
        </w:rPr>
        <w:t>Las principales manifestaciones se relacionan con demoras en la actualización de casos, comunicación fragmentada entre áreas, ausencia de tiempos de referencia por etapa y carencia de indicadores básicos de seguimiento. Como consecuencias pueden generarse reprocesos, mayor tiempo de respuesta y dificultades para ofrecer al suscriptor información precisa sobre el estado de su solicitud.</w:t>
      </w:r>
    </w:p>
    <w:p>
      <w:pPr>
        <w:spacing w:line="360" w:lineRule="auto" w:after="0" w:before="0"/>
        <w:ind w:firstLine="709"/>
        <w:jc w:val="both"/>
      </w:pPr>
      <w:r>
        <w:rPr>
          <w:rFonts w:ascii="Times New Roman" w:hAnsi="Times New Roman"/>
          <w:i w:val="0"/>
          <w:sz w:val="24"/>
        </w:rPr>
        <w:t>Para organizar las causas de la situación se empleó un diagrama de Ishikawa, complementado con observación directa, revisión de registros y entrevistas estructuradas al personal. La técnica permitió relacionar factores de procedimiento, comunicación, registro y seguimiento con las demoras e inconsistencias identificadas.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¿Qué mejoras pueden proponerse al control administrativo de las solicitudes de servicios de telecomunicaciones en IDETEL para fortalecer la trazabilidad, reducir reprocesos y facilitar el seguimiento de cada caso?</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Ingeniería de Telecomunicaciones, C.A. (IDETEL), con el propósito de identificar sus debilidades y formular mejoras procedimentales.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el proceso administrativo actual de recepción, registro, seguimiento y cierre de solicitudes de afiliación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los mecanismos de control utilizados para el seguimiento de las solicitudes de servicio.</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sobre los tiempos de respuesta, la trazabilidad de los casos y la calidad de la atención al suscriptor.</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mediante un flujo estandarizado, formatos de registro y mecanismos básicos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de observación, diagnóstico, análisis y formulación de mejoras al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el proceso administrativo actual de recepción, registro, seguimiento y cierre de solicitudes de afiliación e incidencias en Ingeniería de Telecomunicaciones, C.A.</w:t>
            </w:r>
          </w:p>
        </w:tc>
        <w:tc>
          <w:tcPr>
            <w:tcW w:w="1644" w:type="dxa"/>
            <w:shd w:val="clear" w:color="auto" w:fill="FFFFFF"/>
          </w:tcPr>
          <w:p>
            <w:pPr>
              <w:spacing w:before="60" w:after="60" w:line="240" w:lineRule="auto"/>
              <w:jc w:val="both"/>
            </w:pPr>
            <w:r>
              <w:rPr>
                <w:rFonts w:ascii="Times New Roman" w:hAnsi="Times New Roman"/>
                <w:b w:val="0"/>
                <w:color w:val="000000"/>
                <w:sz w:val="20"/>
              </w:rPr>
              <w:t>Proceso administrativo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recorrido de afiliaciones e incidencias desde Atención al Cliente hasta su seguimiento administrativo y revisar la documentación utilizada.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registros de solicitudes, comprobantes y documentos internos.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presentes en los mecanismos de control utilizados para el seguimiento de las solicitudes de servicio.</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y aplicar entrevistas estructuradas al personal, revisar casos históricos y elaborar un diagrama de Ishikawa con las causas identificadas.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estructurada, análisis documental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hojas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detectadas sobre los tiempos de respuesta, la trazabilidad de los casos y la calidad de la atención al suscriptor.</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 las debilidades sobre la atención y trazabilidad.</w:t>
            </w:r>
          </w:p>
        </w:tc>
        <w:tc>
          <w:tcPr>
            <w:tcW w:w="1644" w:type="dxa"/>
            <w:shd w:val="clear" w:color="auto" w:fill="FFFFFF"/>
          </w:tcPr>
          <w:p>
            <w:pPr>
              <w:spacing w:before="60" w:after="60" w:line="240" w:lineRule="auto"/>
              <w:jc w:val="both"/>
            </w:pPr>
            <w:r>
              <w:rPr>
                <w:rFonts w:ascii="Times New Roman" w:hAnsi="Times New Roman"/>
                <w:b w:val="0"/>
                <w:color w:val="000000"/>
                <w:sz w:val="20"/>
              </w:rPr>
              <w:t>Comparar tiempos de respuesta, revisar incidencias y relacionar las fallas administrativas con reprocesos o dificultades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registros y comparación de tiempos.</w:t>
            </w:r>
          </w:p>
        </w:tc>
        <w:tc>
          <w:tcPr>
            <w:tcW w:w="1695" w:type="dxa"/>
            <w:shd w:val="clear" w:color="auto" w:fill="FFFFFF"/>
          </w:tcPr>
          <w:p>
            <w:pPr>
              <w:spacing w:before="60" w:after="60" w:line="240" w:lineRule="auto"/>
              <w:jc w:val="both"/>
            </w:pPr>
            <w:r>
              <w:rPr>
                <w:rFonts w:ascii="Times New Roman" w:hAnsi="Times New Roman"/>
                <w:b w:val="0"/>
                <w:color w:val="000000"/>
                <w:sz w:val="20"/>
              </w:rPr>
              <w:t>Registros de incidencias, reportes internos y hoja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 mediante un flujo estandarizado, formatos de registro y mecanismos básicos de seguimiento.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el flujo estandarizado, formatos de registro, responsables por etapa e indicadores básicos; validar la propuesta con el tutor industrial.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validación técnica.</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textos, herramientas de diagramación, hoja de cálculo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actividades operativas y de análisis durante las diez (10) semanas de pasantía, considerando la rotación inicial por Atención al Cliente y la posterior incorporación al área de Administración:</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 Atención al Cliente y del flujo de solicitudes.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Atención al Cliente: registro de pagos, recepción de solicitudes y observación del proceso.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y descripción del proceso administrativo de afiliaciones e incidencias.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entrevistas estructuradas al personal relacionado con las solicitudes.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deficiencias y elaboración del diagrama de Ishikawa.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desarrollo de las bases teóricas relacionadas con el control administrativo.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del impacto de las debilidades sobre tiempos, trazabilidad y atención al suscriptor.</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flujo estandarizado y de los formatos de control de solicitudes.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Formulación y validación de la propuesta de mejora.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Consolidación, revisión y presentación del informe de pasantías.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operativo en pagos, facturación, seguimiento de casos y reportes administrativos.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8"/>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Desde la perspectiva de quien desarrolla este informe, el control administrativo en IDETEL debe convertirse en una herramienta de seguimiento continuo y no limitarse a la revisión posterior de los casos.</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line="360" w:lineRule="auto" w:after="0" w:before="0"/>
        <w:ind w:firstLine="709"/>
        <w:jc w:val="both"/>
      </w:pPr>
      <w:r>
        <w:rPr>
          <w:rFonts w:ascii="Times New Roman" w:hAnsi="Times New Roman"/>
          <w:i w:val="0"/>
          <w:sz w:val="24"/>
        </w:rPr>
        <w:t>En el contexto de IDETEL, la gestión de solicitudes requiere un flujo único que permita conocer el responsable, el estado y el tiempo de atención de cada caso.</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line="360" w:lineRule="auto" w:after="0" w:before="0"/>
        <w:ind w:firstLine="709"/>
        <w:jc w:val="both"/>
      </w:pPr>
      <w:r>
        <w:rPr>
          <w:rFonts w:ascii="Times New Roman" w:hAnsi="Times New Roman"/>
          <w:i w:val="0"/>
          <w:sz w:val="24"/>
        </w:rPr>
        <w:t>A juicio de quien suscribe, la estandarización propuesta no busca aumentar la carga administrativa, sino eliminar ambigüedades y hacer verificable cada etapa del proceso.</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line="360" w:lineRule="auto" w:after="0" w:before="0"/>
        <w:ind w:firstLine="709"/>
        <w:jc w:val="both"/>
      </w:pPr>
      <w:r>
        <w:rPr>
          <w:rFonts w:ascii="Times New Roman" w:hAnsi="Times New Roman"/>
          <w:i w:val="0"/>
          <w:sz w:val="24"/>
        </w:rPr>
        <w:t>Para este estudio, la calidad del servicio se relaciona directamente con la capacidad administrativa de IDETEL para responder y dar seguimiento oportuno a las solicitudes del suscriptor.</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line="360" w:lineRule="auto" w:after="0" w:before="0"/>
        <w:ind w:firstLine="709"/>
        <w:jc w:val="both"/>
      </w:pPr>
      <w:r>
        <w:rPr>
          <w:rFonts w:ascii="Times New Roman" w:hAnsi="Times New Roman"/>
          <w:i w:val="0"/>
          <w:sz w:val="24"/>
        </w:rPr>
        <w:t>Desde la posición del autor, una herramienta de seguimiento centralizada es viable para IDETEL porque permite mejorar la trazabilidad sin modificar la naturaleza de los servicios que presta la empresa.</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pacing w:line="360" w:lineRule="auto" w:after="0" w:before="0"/>
        <w:ind w:firstLine="709"/>
        <w:jc w:val="both"/>
      </w:pPr>
      <w:r>
        <w:rPr>
          <w:rFonts w:ascii="Times New Roman" w:hAnsi="Times New Roman"/>
          <w:i w:val="0"/>
          <w:sz w:val="24"/>
        </w:rPr>
        <w:t>La elección del proyecto factible responde a la necesidad de transformar el diagnóstico realizado en procedimientos y formatos aplicables a la realidad operativa de IDETEL.</w:t>
      </w:r>
    </w:p>
    <w:p>
      <w:pPr>
        <w:sectPr>
          <w:footerReference w:type="default" r:id="rId3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40"/>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desarrollaron actividades operativas y de análisis mediante una rotación inicial por Atención al Cliente y una segunda etapa de apoyo en Administración:</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y rotación inicial por Atención al Cliente, reconocimiento de los tipos de solicitudes recibidas, revisión del proceso de registro de pagos y familiarización con la información utilizada para atender a los suscriptores.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punto de inicio de las solicitudes de afiliación e incidencias, identificando los datos que se generan en Atención al Cliente y la forma en que son comunicados a otras áreas.</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Atención al Cliente mediante recepción y registro de pagos, verificación de datos básicos de suscriptores y orientación inicial sobre solicitudes e incidencias reportadas.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del recorrido de las solicitudes desde su recepción, revisión de registros disponibles y elaboración de un esquema preliminar de las etapas y áreas que intervienen en cada tipo de caso.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Continuación del apoyo en Atención al Cliente, registro de pagos y solicitudes, actualización de información básica y seguimiento inicial de casos remitidos a otras áreas.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una guía de entrevista estructurada y revisión del flujo observado para precisar los puntos donde se pierde continuidad o se dificulta conocer el estatus de las solicitudes.</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Inicio de la rotación por Administración con apoyo en procesamiento de pagos, facturación, revisión de documentación y seguimiento administrativo de solicitudes activas.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estructuradas al personal vinculado con Administración, Atención al Cliente y áreas relacionadas, registrando las principales fallas percibidas en comunicación, control y seguimiento.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tareas administrativas de facturación, actualización de registros y verificación del cierre de solicitudes e incidencias correspondientes al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Organización de los hallazgos del diagnóstico y elaboración del diagrama de Ishikawa para representar las causas relacionadas con procedimiento, comunicación, registro y seguimiento; inicio de la revisión de bases teóricas.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de pagos y documentos administrativos, apoyo en facturación y elaboración de reportes básicos requeridos por la supervisión.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identificadas sobre los tiempos de respuesta, la trazabilidad y la atención al suscriptor, complementando el desarrollo del marco teórico.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seguimiento de casos, actualización de registros administrativos y organización de documentación vinculada con solicitudes de servicio.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estandarizado para la gestión de solicitudes, estableciendo etapas, responsables, tiempos de referencia y puntos de control desde la recepción hasta el cierre.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facturación, seguimiento de incidencias y preparación de reportes administrativos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formatos estandarizados para afiliaciones e incidencias y redacción del procedimiento de control que acompaña al flujo propuesto.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 Administración y apoyo en el cierre y seguimiento de casos correspondientes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con el tutor industrial, incorporación de observaciones y preparación del flujograma definitivo del proceso propuesto.</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 los resultados y de la propuesta ante la supervisión del área, gestión de los recaudos de cierre y organización final de la documentación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del informe académico, revisión de la normativa IUTECP, incorporación de anexos y correcciones finales para la entrega institucional.</w:t>
      </w:r>
    </w:p>
    <w:p>
      <w:pPr>
        <w:sectPr>
          <w:footerReference w:type="default" r:id="rId41"/>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2"/>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3"/>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4"/>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propuesto de gestión de solicitudes de servicios]</w:t>
      </w:r>
    </w:p>
    <w:p>
      <w:pPr>
        <w:jc w:val="center"/>
      </w:pPr>
      <w:r>
        <w:drawing>
          <wp:inline xmlns:a="http://schemas.openxmlformats.org/drawingml/2006/main" xmlns:pic="http://schemas.openxmlformats.org/drawingml/2006/picture">
            <wp:extent cx="4860000" cy="22169805"/>
            <wp:docPr id="7" name="Picture 7"/>
            <wp:cNvGraphicFramePr>
              <a:graphicFrameLocks noChangeAspect="1"/>
            </wp:cNvGraphicFramePr>
            <a:graphic>
              <a:graphicData uri="http://schemas.openxmlformats.org/drawingml/2006/picture">
                <pic:pic>
                  <pic:nvPicPr>
                    <pic:cNvPr id="0" name="4.png"/>
                    <pic:cNvPicPr/>
                  </pic:nvPicPr>
                  <pic:blipFill>
                    <a:blip r:embed="rId15"/>
                    <a:stretch>
                      <a:fillRect/>
                    </a:stretch>
                  </pic:blipFill>
                  <pic:spPr>
                    <a:xfrm>
                      <a:off x="0" y="0"/>
                      <a:ext cx="4860000" cy="22169805"/>
                    </a:xfrm>
                    <a:prstGeom prst="rect"/>
                  </pic:spPr>
                </pic:pic>
              </a:graphicData>
            </a:graphic>
          </wp:inline>
        </w:drawing>
      </w:r>
    </w:p>
    <w:sectPr w:rsidR="00FC693F" w:rsidRPr="0006063C" w:rsidSect="00034616">
      <w:footerReference w:type="default" r:id="rId45"/>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 Id="rId17" Type="http://schemas.openxmlformats.org/officeDocument/2006/relationships/footer" Target="footer2.xml"/><Relationship Id="rId18" Type="http://schemas.openxmlformats.org/officeDocument/2006/relationships/footer" Target="footer3.xml"/><Relationship Id="rId19" Type="http://schemas.openxmlformats.org/officeDocument/2006/relationships/footer" Target="footer4.xml"/><Relationship Id="rId20" Type="http://schemas.openxmlformats.org/officeDocument/2006/relationships/footer" Target="footer5.xml"/><Relationship Id="rId21" Type="http://schemas.openxmlformats.org/officeDocument/2006/relationships/footer" Target="footer6.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footer" Target="footer9.xml"/><Relationship Id="rId25" Type="http://schemas.openxmlformats.org/officeDocument/2006/relationships/footer" Target="footer10.xml"/><Relationship Id="rId26" Type="http://schemas.openxmlformats.org/officeDocument/2006/relationships/footer" Target="footer11.xml"/><Relationship Id="rId27" Type="http://schemas.openxmlformats.org/officeDocument/2006/relationships/footer" Target="footer12.xml"/><Relationship Id="rId28" Type="http://schemas.openxmlformats.org/officeDocument/2006/relationships/footer" Target="footer13.xml"/><Relationship Id="rId29" Type="http://schemas.openxmlformats.org/officeDocument/2006/relationships/footer" Target="footer14.xml"/><Relationship Id="rId30" Type="http://schemas.openxmlformats.org/officeDocument/2006/relationships/footer" Target="footer15.xml"/><Relationship Id="rId31" Type="http://schemas.openxmlformats.org/officeDocument/2006/relationships/footer" Target="footer16.xml"/><Relationship Id="rId32" Type="http://schemas.openxmlformats.org/officeDocument/2006/relationships/footer" Target="footer17.xml"/><Relationship Id="rId33" Type="http://schemas.openxmlformats.org/officeDocument/2006/relationships/footer" Target="footer18.xml"/><Relationship Id="rId34" Type="http://schemas.openxmlformats.org/officeDocument/2006/relationships/footer" Target="footer19.xml"/><Relationship Id="rId35" Type="http://schemas.openxmlformats.org/officeDocument/2006/relationships/footer" Target="footer20.xml"/><Relationship Id="rId36" Type="http://schemas.openxmlformats.org/officeDocument/2006/relationships/footer" Target="footer21.xml"/><Relationship Id="rId37" Type="http://schemas.openxmlformats.org/officeDocument/2006/relationships/footer" Target="footer22.xml"/><Relationship Id="rId38" Type="http://schemas.openxmlformats.org/officeDocument/2006/relationships/footer" Target="footer23.xml"/><Relationship Id="rId39" Type="http://schemas.openxmlformats.org/officeDocument/2006/relationships/footer" Target="footer24.xml"/><Relationship Id="rId40" Type="http://schemas.openxmlformats.org/officeDocument/2006/relationships/footer" Target="footer25.xml"/><Relationship Id="rId41" Type="http://schemas.openxmlformats.org/officeDocument/2006/relationships/footer" Target="footer26.xml"/><Relationship Id="rId42" Type="http://schemas.openxmlformats.org/officeDocument/2006/relationships/footer" Target="footer27.xml"/><Relationship Id="rId43" Type="http://schemas.openxmlformats.org/officeDocument/2006/relationships/footer" Target="footer28.xml"/><Relationship Id="rId44" Type="http://schemas.openxmlformats.org/officeDocument/2006/relationships/footer" Target="footer29.xml"/><Relationship Id="rId45"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