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line="360" w:lineRule="auto" w:after="0" w:before="0"/>
        <w:ind w:firstLine="709"/>
        <w:jc w:val="both"/>
      </w:pPr>
      <w:r>
        <w:rPr>
          <w:rFonts w:ascii="Times New Roman" w:hAnsi="Times New Roman"/>
          <w:i w:val="0"/>
          <w:sz w:val="24"/>
        </w:rPr>
        <w:t>El logotipo institucional identifica visualmente a la Empresa Mixta Petrolera Venangocupet, S.A. y representa su vinculación con la actividad petrolera nacional, sirviendo como elemento gráfico de reconocimiento de la organización donde se desarrolló la pasantía profesional.</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9"/>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1"/>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4860000" cy="284441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860000" cy="2844412"/>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