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pPr>
        <w:spacing w:line="360" w:lineRule="auto" w:after="0" w:before="0"/>
        <w:ind w:firstLine="709"/>
        <w:jc w:val="both"/>
      </w:pPr>
      <w:r>
        <w:rPr>
          <w:rFonts w:ascii="Times New Roman" w:hAnsi="Times New Roman"/>
          <w:i w:val="0"/>
          <w:sz w:val="24"/>
        </w:rPr>
        <w:t>El logotipo representa la identidad visual de Lubricantes y Equipos Varyna, C.A., organización donde se desarrolló la pasantía profesional en el área administrativa y de procura.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