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78" w:after="1334"/>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PROPUESTA DE SIMPLIFICACIÓN ADMINISTRATIVA DE LA PROCURA EN LUBRICANTES Y EQUIPOS VARYNA, C.A.</w:t>
      </w:r>
    </w:p>
    <w:p>
      <w:pPr>
        <w:spacing w:line="276" w:lineRule="auto" w:before="3260" w:after="0"/>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p>
      <w:pPr>
        <w:spacing w:line="276" w:lineRule="auto" w:before="1630" w:after="0"/>
        <w:jc w:val="center"/>
      </w:pPr>
      <w:r>
        <w:rPr>
          <w:rFonts w:ascii="Times New Roman" w:hAnsi="Times New Roman"/>
          <w:sz w:val="24"/>
        </w:rPr>
        <w:t>El Tigre, agosto de 2026</w:t>
      </w:r>
    </w:p>
    <w:p>
      <w:pPr>
        <w:sectPr>
          <w:footerReference w:type="default" r:id="rId13"/>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 UNIVERSITARIA</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176" w:after="0"/>
        <w:jc w:val="center"/>
      </w:pPr>
      <w:r>
        <w:rPr>
          <w:rFonts w:ascii="Times New Roman" w:hAnsi="Times New Roman"/>
          <w:b/>
          <w:sz w:val="24"/>
        </w:rPr>
        <w:t>PROPUESTA DE SIMPLIFICACIÓN ADMINISTRATIVA DE LA PROCURA EN LUBRICANTES Y EQUIPOS VARYNA, C.A.</w:t>
      </w:r>
    </w:p>
    <w:p>
      <w:pPr>
        <w:spacing w:before="2647"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Rondón, Martina</w:t>
              <w:br/>
            </w:r>
            <w:r>
              <w:rPr>
                <w:rFonts w:ascii="Times New Roman" w:hAnsi="Times New Roman"/>
                <w:b/>
                <w:sz w:val="24"/>
              </w:rPr>
              <w:t>C.I.: 12.208.768</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Dra. Álvarez, Carmen</w:t>
              <w:br/>
            </w:r>
            <w:r>
              <w:rPr>
                <w:rFonts w:ascii="Times New Roman" w:hAnsi="Times New Roman"/>
                <w:b/>
                <w:sz w:val="24"/>
              </w:rPr>
              <w:t>C.I.: 14.452.956</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Guzmán, Keidy</w:t>
              <w:br/>
            </w:r>
            <w:r>
              <w:rPr>
                <w:rFonts w:ascii="Times New Roman" w:hAnsi="Times New Roman"/>
                <w:b/>
                <w:sz w:val="24"/>
              </w:rPr>
              <w:t>C.I.: 28.706.352</w:t>
            </w:r>
          </w:p>
        </w:tc>
      </w:tr>
    </w:tbl>
    <w:p>
      <w:pPr>
        <w:spacing w:line="276" w:lineRule="auto" w:before="1323" w:after="0"/>
        <w:jc w:val="center"/>
      </w:pPr>
      <w:r>
        <w:rPr>
          <w:rFonts w:ascii="Times New Roman" w:hAnsi="Times New Roman"/>
          <w:sz w:val="24"/>
        </w:rPr>
        <w:t>El Tigre, agosto de 2026</w:t>
      </w:r>
    </w:p>
    <w:p>
      <w:pPr>
        <w:sectPr>
          <w:footerReference w:type="default" r:id="rId14"/>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ind" w:name="bm_aprob_ind"/>
      <w:pPr>
        <w:spacing w:before="480" w:after="480"/>
        <w:jc w:val="center"/>
      </w:pPr>
      <w:r>
        <w:rPr>
          <w:rFonts w:ascii="Times New Roman" w:hAnsi="Times New Roman"/>
          <w:b/>
          <w:sz w:val="24"/>
        </w:rPr>
        <w:t>APROBACIÓN DEL TUTOR INDUSTRIAL</w:t>
      </w:r>
      <w:bookmarkEnd w:id="bm_aprob_ind"/>
    </w:p>
    <w:p>
      <w:pPr>
        <w:spacing w:line="360" w:lineRule="auto"/>
        <w:ind w:firstLine="0"/>
        <w:jc w:val="both"/>
      </w:pPr>
      <w:r>
        <w:rPr>
          <w:rFonts w:ascii="Times New Roman" w:hAnsi="Times New Roman"/>
          <w:sz w:val="24"/>
        </w:rPr>
        <w:t>En mi carácter de tutor industrial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Rondón, Martina</w:t>
      </w:r>
    </w:p>
    <w:p>
      <w:pPr>
        <w:spacing w:before="0"/>
        <w:jc w:val="center"/>
      </w:pPr>
      <w:r>
        <w:rPr>
          <w:rFonts w:ascii="Times New Roman" w:hAnsi="Times New Roman"/>
          <w:sz w:val="24"/>
        </w:rPr>
        <w:t>C.I.: 12.208.768</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 UNIVERSITARIA</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bookmarkStart w:id="bm_aprob_acad" w:name="bm_aprob_acad"/>
      <w:pPr>
        <w:spacing w:before="480" w:after="480"/>
        <w:jc w:val="center"/>
      </w:pPr>
      <w:r>
        <w:rPr>
          <w:rFonts w:ascii="Times New Roman" w:hAnsi="Times New Roman"/>
          <w:b/>
          <w:sz w:val="24"/>
        </w:rPr>
        <w:t>APROBACIÓN DEL TUTOR ACADÉMICO</w:t>
      </w:r>
      <w:bookmarkEnd w:id="bm_aprob_acad"/>
    </w:p>
    <w:p>
      <w:pPr>
        <w:spacing w:line="360" w:lineRule="auto"/>
        <w:ind w:firstLine="0"/>
        <w:jc w:val="both"/>
      </w:pPr>
      <w:r>
        <w:rPr>
          <w:rFonts w:ascii="Times New Roman" w:hAnsi="Times New Roman"/>
          <w:sz w:val="24"/>
        </w:rPr>
        <w:t>En mi carácter de tutor académico del informe de pasantías presentado por: Guzmán, Keidy, de Cédula de Identidad V-28.706.352; para optar al grado de Técnico Superior Universitario en la especialidad de: Administración, cuyo título es; “PROPUESTA DE SIMPLIFICACIÓN ADMINISTRATIVA DE LA PROCURA EN LUBRICANTES Y EQUIPOS VARYNA,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Dra. Álvarez, Carmen</w:t>
      </w:r>
    </w:p>
    <w:p>
      <w:pPr>
        <w:spacing w:before="0"/>
        <w:jc w:val="center"/>
      </w:pPr>
      <w:r>
        <w:rPr>
          <w:rFonts w:ascii="Times New Roman" w:hAnsi="Times New Roman"/>
          <w:sz w:val="24"/>
        </w:rPr>
        <w:t>C.I.: 14.452.956</w:t>
      </w:r>
    </w:p>
    <w:p>
      <w:pPr>
        <w:sectPr>
          <w:footerReference w:type="default" r:id="rId16"/>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7"/>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8"/>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19"/>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 la pasantía</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0"/>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1"/>
          <w:pgSz w:w="12240" w:h="15840"/>
          <w:pgMar w:top="1701" w:right="1701" w:bottom="1701" w:left="2268" w:header="720" w:footer="720" w:gutter="0"/>
          <w:cols w:space="720"/>
          <w:titlePg/>
          <w:docGrid w:linePitch="360"/>
        </w:sectPr>
      </w:pPr>
    </w:p>
    <w:p>
      <w:pPr>
        <w:sectPr>
          <w:footerReference w:type="default" r:id="rId22"/>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3"/>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Logotipo de Lubricantes y Equipos Varyna,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Representación cartográfica y ubicación espacial de la empresa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estructural y niveles jerárquicos de la organización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4"/>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5"/>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Diagrama de Ishikawa de las causas asociadas a las demoras del proceso de procura</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6"/>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 UNIVERSITARIA</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PROPUESTA DE SIMPLIFICACIÓN ADMINISTRATIVA DE LA PROCURA EN LUBRICANTES Y EQUIPOS VARYNA, C.A.</w:t>
      </w:r>
    </w:p>
    <w:p>
      <w:pPr>
        <w:spacing w:after="480"/>
        <w:ind w:left="0"/>
        <w:jc w:val="right"/>
      </w:pPr>
      <w:r>
        <w:rPr>
          <w:rFonts w:ascii="Times New Roman" w:hAnsi="Times New Roman"/>
          <w:b/>
          <w:sz w:val="24"/>
        </w:rPr>
        <w:t>Autor:</w:t>
        <w:br/>
      </w:r>
      <w:r>
        <w:rPr>
          <w:rFonts w:ascii="Times New Roman" w:hAnsi="Times New Roman"/>
          <w:sz w:val="24"/>
        </w:rPr>
        <w:t>Guzmán, Keidy</w:t>
        <w:br/>
      </w:r>
      <w:r>
        <w:rPr>
          <w:rFonts w:ascii="Times New Roman" w:hAnsi="Times New Roman"/>
          <w:sz w:val="24"/>
        </w:rPr>
        <w:t>C.I.: 28.706.352</w:t>
        <w:br/>
      </w:r>
      <w:r>
        <w:rPr>
          <w:rFonts w:ascii="Times New Roman" w:hAnsi="Times New Roman"/>
          <w:sz w:val="24"/>
        </w:rPr>
        <w:t>agosto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7"/>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corresponde a las pasantías profesionales realizadas durante diez (10) semanas en el Departamento Administrativo de Lubricantes y Equipos Varyna, C.A., con participación directa en actividades relacionadas con la procura de materiales e insumos. Durante la práctica se observó que las requisiciones de compra no siempre siguen un canal único y formalizado desde su recepción hasta la emisión y seguimiento de la orden de compra. También se evidenció la ausencia de formatos uniformes para algunas solicitudes, dificultades para conocer oportunamente el estado de las cotizaciones y falta de criterios visibles que faciliten el seguimiento de las aprobaciones. Estas condiciones pueden producir demoras, pérdida de trazabilidad y mayor carga administrativa para el personal encargado. El objetivo general fue proponer la simplificación administrativa del proceso de procura en el departamento, con la finalidad de reducir pasos innecesarios, agilizar los tiempos de adquisición y fortalecer el control interno. Para ello se realizaron observaciones del flujo de compras, entrevistas al personal, revisión de expedientes históricos, análisis de tiempos y un diagrama de causa-efecto para organizar los factores asociados a los retrasos. Como resultado se formuló una propuesta compuesta por un flujo simplificado con responsables definidos, formatos estandarizados de solicitud de cotización y orden de compra, una matriz de autorización por monto y criterios de seguimiento mediante indicadores de gestión. Se concluye que la formalización de estas herramientas puede facilitar el control y reducir la dispersión del proceso. Se recomienda implementar la propuesta de manera gradual, socializarla con el personal involucrado y revisar periódicamente sus resultados para realizar los ajustes necesarios.</w:t>
      </w:r>
    </w:p>
    <w:p/>
    <w:p>
      <w:pPr>
        <w:ind w:firstLine="709"/>
      </w:pPr>
      <w:r>
        <w:rPr>
          <w:b/>
        </w:rPr>
        <w:t xml:space="preserve">Palabras claves: </w:t>
      </w:r>
      <w:r>
        <w:t>procura, simplificación administrativa, control interno, requisiciones, pasantías</w:t>
      </w:r>
    </w:p>
    <w:p>
      <w:pPr>
        <w:sectPr>
          <w:footerReference w:type="default" r:id="rId28"/>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29"/>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Las pasantías profesionales permiten vincular los conocimientos adquiridos durante la formación en Administración con situaciones reales de funcionamiento organizacional. En el área administrativa, la procura representa un proceso de apoyo indispensable porque articula la recepción de requerimientos, búsqueda de cotizaciones, evaluación de alternativas, aprobación y adquisición de bienes o servicios necesarios para la continuidad de las operaciones.</w:t>
      </w:r>
    </w:p>
    <w:p>
      <w:pPr>
        <w:spacing w:line="360" w:lineRule="auto" w:after="0" w:before="0"/>
        <w:ind w:firstLine="709"/>
        <w:jc w:val="both"/>
      </w:pPr>
      <w:r>
        <w:rPr>
          <w:rFonts w:ascii="Times New Roman" w:hAnsi="Times New Roman"/>
          <w:i w:val="0"/>
          <w:sz w:val="24"/>
        </w:rPr>
        <w:t>En Lubricantes y Equipos Varyna, C.A., las actividades de pasantía se desarrollaron en el Departamento Administrativo con énfasis en el área de procura. Durante la práctica se identificaron oportunidades de mejora relacionadas con la recepción de requisiciones, el seguimiento de cotizaciones, la estandarización de formatos y la definición del recorrido que debe seguir cada solicitud de compra. Estas condiciones justificaron la formulación de una propuesta de simplificación administrativa adaptada a la dinámica del departamento.</w:t>
      </w:r>
    </w:p>
    <w:p>
      <w:pPr>
        <w:spacing w:line="360" w:lineRule="auto" w:after="0" w:before="0"/>
        <w:ind w:firstLine="709"/>
        <w:jc w:val="both"/>
      </w:pPr>
      <w:r>
        <w:rPr>
          <w:rFonts w:ascii="Times New Roman" w:hAnsi="Times New Roman"/>
          <w:i w:val="0"/>
          <w:sz w:val="24"/>
        </w:rPr>
        <w:t>El propósito del informe es presentar el diagnóstico realizado, los objetivos definidos, la planificación de las actividades y la propuesta formulada. Como soporte conceptual se abordan la procura, el proceso administrativo, el control interno y la simplificación de procedimientos, complementados con un marco legal general relacionado con la actividad económica y el orden de los registros mercantiles.</w:t>
      </w:r>
    </w:p>
    <w:p>
      <w:pPr>
        <w:spacing w:line="360" w:lineRule="auto" w:after="0" w:before="0"/>
        <w:ind w:firstLine="709"/>
        <w:jc w:val="both"/>
      </w:pPr>
      <w:r>
        <w:rPr>
          <w:rFonts w:ascii="Times New Roman" w:hAnsi="Times New Roman"/>
          <w:i w:val="0"/>
          <w:sz w:val="24"/>
        </w:rPr>
        <w:t>El informe se organiza en cinco capítulos. El Capítulo I describe la realidad organizacional de Lubricantes y Equipos Varyna, C.A.; el Capítulo II presenta la situación problemática, los objetivos, la planificación integral y el cronograma; el Capítulo III desarrolla los fundamentos teóricos y legales; el Capítulo IV describe las actividades operativas y de análisis realizadas durante las diez semanas; y el Capítulo V contiene las conclusiones y recomendaciones derivadas de la experiencia de pasantía.</w:t>
      </w:r>
    </w:p>
    <w:p>
      <w:pPr>
        <w:sectPr>
          <w:footerReference w:type="default" r:id="rId30"/>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1"/>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Lubricantes y Equipos Varyna, 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Lubricantes y Equipos Varyná, C.A. es una empresa venezolana fundada con la visión de responder a las crecientes demandas operativas e industriales del país. A lo largo de más de treinta y seis (36) años de trayectoria ininterrumpida, la organización se ha consolidado en el sector petrolero, industrial y de construcción, posicionándose como un aliado estratégico de alta confiabilidad en el mercado nacional gracias a su capacidad de respuesta y solvencia técnica.</w:t>
      </w:r>
    </w:p>
    <w:p>
      <w:pPr>
        <w:spacing w:line="360" w:lineRule="auto" w:after="0" w:before="0"/>
        <w:ind w:firstLine="709"/>
        <w:jc w:val="both"/>
      </w:pPr>
      <w:r>
        <w:rPr>
          <w:rFonts w:ascii="Times New Roman" w:hAnsi="Times New Roman"/>
          <w:i w:val="0"/>
          <w:sz w:val="24"/>
        </w:rPr>
        <w:t>Desde sus primeros años de operaciones, la empresa enfocó su estrategia en la diversificación técnica de sus servicios, pasando de ser un proveedor local de insumos a una estructura corporativa especializada en el procesamiento y suministro de productos químicos de alto rendimiento, tratamiento químico de crudo y provisión de maquinaria pesada para proyectos de gran escala. Este desarrollo progresivo le permitió establecer estándares operacionales alineados con las exigencias de la industria energética regional y nacional.</w:t>
      </w:r>
    </w:p>
    <w:p>
      <w:pPr>
        <w:spacing w:line="360" w:lineRule="auto" w:after="0" w:before="0"/>
        <w:ind w:firstLine="709"/>
        <w:jc w:val="both"/>
      </w:pPr>
      <w:r>
        <w:rPr>
          <w:rFonts w:ascii="Times New Roman" w:hAnsi="Times New Roman"/>
          <w:i w:val="0"/>
          <w:sz w:val="24"/>
        </w:rPr>
        <w:t>Su integración como parte fundamental del Grupo Corporativo VTC marcó un hito en su madurez organizacional, impulsando un crecimiento sostenido mediante la profesionalización de sus procesos, la adopción de tecnologías de vanguardia y la consolidación de alianzas comerciales de largo alcance. Hoy en día, Lubricantes y Equipos Varyná, C.A. mantiene su compromiso con el desarrollo productivo del país, sustentando su liderazgo en la innovación continua, la calidad de servicio y el fortalecimiento constante de su capital humano y capacidad logística.</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a nuestros clientes objetivos, soluciones de calidad en las áreas en las cuales nos desempeñamos, para contribuir de manera significativa en sus resultados. Aportando valor con nuestras respuestas a sus requerimientos. En la búsqueda de un mejor país y de una mejor humanidad.</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el conglomerado de empresas líderes en cada una de las categorías en las que participamos, generando modelos de negocios altamente competitivos, atendiendo a nuestros distintos beneficiarios con productos y servicios de calidad.</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Planificación: </w:t>
      </w:r>
      <w:r>
        <w:rPr>
          <w:rFonts w:ascii="Times New Roman" w:hAnsi="Times New Roman"/>
          <w:sz w:val="24"/>
        </w:rPr>
        <w:t>Estructuración anticipada de las adquisiciones para optimizar los recursos financieros de la organización.</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Responsabilidad: </w:t>
      </w:r>
      <w:r>
        <w:rPr>
          <w:rFonts w:ascii="Times New Roman" w:hAnsi="Times New Roman"/>
          <w:sz w:val="24"/>
        </w:rPr>
        <w:t>Cumplimiento eficiente de los compromisos adquiridos con clientes, proveedores y trabajadores.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Integridad: </w:t>
      </w:r>
      <w:r>
        <w:rPr>
          <w:rFonts w:ascii="Times New Roman" w:hAnsi="Times New Roman"/>
          <w:sz w:val="24"/>
        </w:rPr>
        <w:t>Actuar con honestidad, ética y transparencia en todas las operaciones de la empresa.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Transparencia: </w:t>
      </w:r>
      <w:r>
        <w:rPr>
          <w:rFonts w:ascii="Times New Roman" w:hAnsi="Times New Roman"/>
          <w:sz w:val="24"/>
        </w:rPr>
        <w:t>Garantizar la trazabilidad y la claridad en los procesos de selección y adjudicación de compras.</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Posicionarse como una empresa líder en el sector petrolero, industrial y de construcción a nivel nacional, garantizando la provisión oportuna de productos químicos especializados, tratamiento de crudo y maquinaria pesada, mediante una gestión administrativa, operacional y de procura transparente, eficiente y orientada a la calidad total.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Proporcionar soluciones eficientes y oportunas a las necesidades de sus clientes.</w:t>
      </w:r>
    </w:p>
    <w:p>
      <w:pPr>
        <w:spacing w:line="360" w:lineRule="auto"/>
        <w:ind w:firstLine="709"/>
        <w:jc w:val="both"/>
      </w:pPr>
      <w:r>
        <w:rPr>
          <w:rFonts w:ascii="Times New Roman" w:hAnsi="Times New Roman"/>
          <w:sz w:val="24"/>
        </w:rPr>
        <w:t xml:space="preserve">2. </w:t>
      </w:r>
      <w:r>
        <w:rPr>
          <w:rFonts w:ascii="Times New Roman" w:hAnsi="Times New Roman"/>
          <w:sz w:val="24"/>
        </w:rPr>
        <w:t>Mantener altos estándares de calidad en los productos y servicios ofrecidos.</w:t>
      </w:r>
    </w:p>
    <w:p>
      <w:pPr>
        <w:spacing w:line="360" w:lineRule="auto"/>
        <w:ind w:firstLine="709"/>
        <w:jc w:val="both"/>
      </w:pPr>
      <w:r>
        <w:rPr>
          <w:rFonts w:ascii="Times New Roman" w:hAnsi="Times New Roman"/>
          <w:sz w:val="24"/>
        </w:rPr>
        <w:t xml:space="preserve">3. </w:t>
      </w:r>
      <w:r>
        <w:rPr>
          <w:rFonts w:ascii="Times New Roman" w:hAnsi="Times New Roman"/>
          <w:sz w:val="24"/>
        </w:rPr>
        <w:t>Asegurar el abastecimiento continuo y eficiente de insumos mediante una gestión administrativa transparente.</w:t>
      </w:r>
    </w:p>
    <w:p>
      <w:pPr>
        <w:spacing w:before="480"/>
        <w:jc w:val="center"/>
      </w:pPr>
      <w:r>
        <w:drawing>
          <wp:inline xmlns:a="http://schemas.openxmlformats.org/drawingml/2006/main" xmlns:pic="http://schemas.openxmlformats.org/drawingml/2006/picture">
            <wp:extent cx="1512000" cy="1512000"/>
            <wp:docPr id="2" name="Picture 2"/>
            <wp:cNvGraphicFramePr>
              <a:graphicFrameLocks noChangeAspect="1"/>
            </wp:cNvGraphicFramePr>
            <a:graphic>
              <a:graphicData uri="http://schemas.openxmlformats.org/drawingml/2006/picture">
                <pic:pic>
                  <pic:nvPicPr>
                    <pic:cNvPr id="0" name="logo.jpg"/>
                    <pic:cNvPicPr/>
                  </pic:nvPicPr>
                  <pic:blipFill>
                    <a:blip r:embed="rId10"/>
                    <a:stretch>
                      <a:fillRect/>
                    </a:stretch>
                  </pic:blipFill>
                  <pic:spPr>
                    <a:xfrm>
                      <a:off x="0" y="0"/>
                      <a:ext cx="1512000" cy="1512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Logotipo de Lubricantes y Equipos Varyna, C.A.</w:t>
      </w:r>
      <w:bookmarkEnd w:id="bm_grafico1"/>
    </w:p>
    <w:p>
      <w:pPr>
        <w:spacing w:before="0" w:after="240"/>
        <w:jc w:val="center"/>
      </w:pPr>
      <w:r>
        <w:rPr>
          <w:rFonts w:ascii="Times New Roman" w:hAnsi="Times New Roman"/>
          <w:i/>
          <w:sz w:val="24"/>
        </w:rPr>
        <w:t xml:space="preserve">Fuente: </w:t>
      </w:r>
      <w:r>
        <w:rPr>
          <w:rFonts w:ascii="Times New Roman" w:hAnsi="Times New Roman"/>
          <w:sz w:val="24"/>
        </w:rPr>
        <w:t>Lubricantes y Equipos Varyna, C.A. (2026).</w:t>
      </w:r>
    </w:p>
    <w:p>
      <w:pPr>
        <w:spacing w:line="360" w:lineRule="auto" w:after="0" w:before="0"/>
        <w:ind w:firstLine="709"/>
        <w:jc w:val="both"/>
      </w:pPr>
      <w:r>
        <w:rPr>
          <w:rFonts w:ascii="Times New Roman" w:hAnsi="Times New Roman"/>
          <w:i w:val="0"/>
          <w:sz w:val="24"/>
        </w:rPr>
        <w:t>El logotipo representa la identidad visual de Lubricantes y Equipos Varyna, C.A., organización donde se desarrolló la pasantía profesional en el área administrativa y de procura.</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Calle 23 de enero entre calle principal el palomar y calle la paz sector vista al sol, San José de Guanipa Edo. Anzoátegui.</w:t>
      </w:r>
    </w:p>
    <w:p>
      <w:pPr>
        <w:spacing w:before="480"/>
        <w:jc w:val="center"/>
      </w:pPr>
      <w:r>
        <w:drawing>
          <wp:inline xmlns:a="http://schemas.openxmlformats.org/drawingml/2006/main" xmlns:pic="http://schemas.openxmlformats.org/drawingml/2006/picture">
            <wp:extent cx="1800000" cy="1315385"/>
            <wp:docPr id="3" name="Picture 3"/>
            <wp:cNvGraphicFramePr>
              <a:graphicFrameLocks noChangeAspect="1"/>
            </wp:cNvGraphicFramePr>
            <a:graphic>
              <a:graphicData uri="http://schemas.openxmlformats.org/drawingml/2006/picture">
                <pic:pic>
                  <pic:nvPicPr>
                    <pic:cNvPr id="0" name="1.png"/>
                    <pic:cNvPicPr/>
                  </pic:nvPicPr>
                  <pic:blipFill>
                    <a:blip r:embed="rId11"/>
                    <a:stretch>
                      <a:fillRect/>
                    </a:stretch>
                  </pic:blipFill>
                  <pic:spPr>
                    <a:xfrm>
                      <a:off x="0" y="0"/>
                      <a:ext cx="1800000" cy="1315385"/>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Representación cartográfica y ubicación espacial de la empresa.</w:t>
      </w:r>
      <w:bookmarkEnd w:id="bm_grafico2"/>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after="120"/>
      </w:pPr>
    </w:p>
    <w:tbl>
      <w:tblPr>
        <w:tblStyle w:val="TableGrid"/>
        <w:tblW w:type="auto" w:w="0"/>
        <w:jc w:val="center"/>
        <w:tblLook w:firstColumn="1" w:firstRow="1" w:lastColumn="0" w:lastRow="0" w:noHBand="0" w:noVBand="1" w:val="04A0"/>
        <w:tblLayout w:type="fixed"/>
      </w:tblPr>
      <w:tblGrid>
        <w:gridCol w:w="1984"/>
        <w:gridCol w:w="2886"/>
        <w:gridCol w:w="1134"/>
        <w:gridCol w:w="1134"/>
        <w:gridCol w:w="1134"/>
      </w:tblGrid>
      <w:tr>
        <w:tc>
          <w:tcPr>
            <w:tcW w:w="1984" w:type="dxa"/>
            <w:shd w:fill="D9E2F3"/>
          </w:tcPr>
          <w:p>
            <w:pPr>
              <w:jc w:val="center"/>
            </w:pPr>
            <w:r/>
            <w:r>
              <w:rPr>
                <w:rFonts w:ascii="Times New Roman" w:hAnsi="Times New Roman"/>
                <w:b/>
                <w:sz w:val="16"/>
              </w:rPr>
              <w:t>Departamento / Área</w:t>
            </w:r>
          </w:p>
        </w:tc>
        <w:tc>
          <w:tcPr>
            <w:tcW w:w="2886" w:type="dxa"/>
            <w:shd w:fill="D9E2F3"/>
          </w:tcPr>
          <w:p>
            <w:pPr>
              <w:jc w:val="center"/>
            </w:pPr>
            <w:r/>
            <w:r>
              <w:rPr>
                <w:rFonts w:ascii="Times New Roman" w:hAnsi="Times New Roman"/>
                <w:b/>
                <w:sz w:val="16"/>
              </w:rPr>
              <w:t>Cargo</w:t>
            </w:r>
          </w:p>
        </w:tc>
        <w:tc>
          <w:tcPr>
            <w:tcW w:w="1134" w:type="dxa"/>
            <w:shd w:fill="D9E2F3"/>
          </w:tcPr>
          <w:p>
            <w:pPr>
              <w:jc w:val="center"/>
            </w:pPr>
            <w:r/>
            <w:r>
              <w:rPr>
                <w:rFonts w:ascii="Times New Roman" w:hAnsi="Times New Roman"/>
                <w:b/>
                <w:sz w:val="16"/>
              </w:rPr>
              <w:t>Femenino</w:t>
            </w:r>
          </w:p>
        </w:tc>
        <w:tc>
          <w:tcPr>
            <w:tcW w:w="1134" w:type="dxa"/>
            <w:shd w:fill="D9E2F3"/>
          </w:tcPr>
          <w:p>
            <w:pPr>
              <w:jc w:val="center"/>
            </w:pPr>
            <w:r/>
            <w:r>
              <w:rPr>
                <w:rFonts w:ascii="Times New Roman" w:hAnsi="Times New Roman"/>
                <w:b/>
                <w:sz w:val="16"/>
              </w:rPr>
              <w:t>Masculino</w:t>
            </w:r>
          </w:p>
        </w:tc>
        <w:tc>
          <w:tcPr>
            <w:tcW w:w="1134" w:type="dxa"/>
            <w:shd w:fill="D9E2F3"/>
          </w:tcPr>
          <w:p>
            <w:pPr>
              <w:jc w:val="center"/>
            </w:pPr>
            <w:r/>
            <w:r>
              <w:rPr>
                <w:rFonts w:ascii="Times New Roman" w:hAnsi="Times New Roman"/>
                <w:b/>
                <w:sz w:val="16"/>
              </w:rPr>
              <w:t>Total</w:t>
            </w:r>
          </w:p>
        </w:tc>
      </w:tr>
      <w:tr>
        <w:tc>
          <w:tcPr>
            <w:tcW w:type="dxa" w:w="1984"/>
          </w:tcPr>
          <w:p>
            <w:pPr>
              <w:jc w:val="left"/>
            </w:pPr>
            <w:r/>
            <w:r>
              <w:rPr>
                <w:rFonts w:ascii="Times New Roman" w:hAnsi="Times New Roman"/>
                <w:sz w:val="16"/>
              </w:rPr>
              <w:t>Alta Dirección</w:t>
            </w:r>
          </w:p>
        </w:tc>
        <w:tc>
          <w:tcPr>
            <w:tcW w:type="dxa" w:w="2886"/>
          </w:tcPr>
          <w:p>
            <w:pPr>
              <w:jc w:val="left"/>
            </w:pPr>
            <w:r/>
            <w:r>
              <w:rPr>
                <w:rFonts w:ascii="Times New Roman" w:hAnsi="Times New Roman"/>
                <w:sz w:val="16"/>
              </w:rPr>
              <w:t>Gerente General</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Dirección Operativa</w:t>
            </w:r>
          </w:p>
        </w:tc>
        <w:tc>
          <w:tcPr>
            <w:tcW w:type="dxa" w:w="2886"/>
          </w:tcPr>
          <w:p>
            <w:pPr>
              <w:jc w:val="left"/>
            </w:pPr>
            <w:r/>
            <w:r>
              <w:rPr>
                <w:rFonts w:ascii="Times New Roman" w:hAnsi="Times New Roman"/>
                <w:sz w:val="16"/>
              </w:rPr>
              <w:t>Gerente de Operaciones</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Control y Avance</w:t>
            </w:r>
          </w:p>
        </w:tc>
        <w:tc>
          <w:tcPr>
            <w:tcW w:type="dxa" w:w="2886"/>
          </w:tcPr>
          <w:p>
            <w:pPr>
              <w:jc w:val="left"/>
            </w:pPr>
            <w:r/>
            <w:r>
              <w:rPr>
                <w:rFonts w:ascii="Times New Roman" w:hAnsi="Times New Roman"/>
                <w:sz w:val="16"/>
              </w:rPr>
              <w:t>Gerente / Operaciones Morichal</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Administración (Área de Pasantía)</w:t>
            </w:r>
          </w:p>
        </w:tc>
        <w:tc>
          <w:tcPr>
            <w:tcW w:type="dxa" w:w="2886"/>
          </w:tcPr>
          <w:p>
            <w:pPr>
              <w:jc w:val="left"/>
            </w:pPr>
            <w:r/>
            <w:r>
              <w:rPr>
                <w:rFonts w:ascii="Times New Roman" w:hAnsi="Times New Roman"/>
                <w:sz w:val="16"/>
              </w:rPr>
              <w:t>Administración / Asistentes Administrativos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Control de Avance, Logística y Compras (Procura)</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Operarios, Sup. Patio, Mantenimiento y Logística</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r>
      <w:tr>
        <w:tc>
          <w:tcPr>
            <w:tcW w:type="dxa" w:w="1984"/>
          </w:tcPr>
          <w:p>
            <w:pPr>
              <w:jc w:val="left"/>
            </w:pPr>
            <w:r/>
            <w:r>
              <w:rPr>
                <w:rFonts w:ascii="Times New Roman" w:hAnsi="Times New Roman"/>
                <w:sz w:val="16"/>
              </w:rPr>
              <w:t>Contratación y Adm. Contratos</w:t>
            </w:r>
          </w:p>
        </w:tc>
        <w:tc>
          <w:tcPr>
            <w:tcW w:type="dxa" w:w="2886"/>
          </w:tcPr>
          <w:p>
            <w:pPr>
              <w:jc w:val="left"/>
            </w:pPr>
            <w:r/>
            <w:r>
              <w:rPr>
                <w:rFonts w:ascii="Times New Roman" w:hAnsi="Times New Roman"/>
                <w:sz w:val="16"/>
              </w:rPr>
              <w:t>Gerente / Estimadores, Administradores, Planificadores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Recursos Humanos</w:t>
            </w:r>
          </w:p>
        </w:tc>
        <w:tc>
          <w:tcPr>
            <w:tcW w:type="dxa" w:w="2886"/>
          </w:tcPr>
          <w:p>
            <w:pPr>
              <w:jc w:val="left"/>
            </w:pPr>
            <w:r/>
            <w:r>
              <w:rPr>
                <w:rFonts w:ascii="Times New Roman" w:hAnsi="Times New Roman"/>
                <w:sz w:val="16"/>
              </w:rPr>
              <w:t>Gerente de RRHH-Laborales / Asistentes</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t>Proyectos y Producción</w:t>
            </w:r>
          </w:p>
        </w:tc>
        <w:tc>
          <w:tcPr>
            <w:tcW w:type="dxa" w:w="2886"/>
          </w:tcPr>
          <w:p>
            <w:pPr>
              <w:jc w:val="left"/>
            </w:pPr>
            <w:r/>
            <w:r>
              <w:rPr>
                <w:rFonts w:ascii="Times New Roman" w:hAnsi="Times New Roman"/>
                <w:sz w:val="16"/>
              </w:rPr>
              <w:t>Gerentes de Proyecto, Optimización y Servicios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Gerente Metalmecánico</w:t>
            </w:r>
          </w:p>
        </w:tc>
        <w:tc>
          <w:tcPr>
            <w:tcW w:type="dxa" w:w="1134"/>
          </w:tcPr>
          <w:p>
            <w:pPr>
              <w:jc w:val="center"/>
            </w:pPr>
            <w:r/>
            <w:r>
              <w:rPr>
                <w:rFonts w:ascii="Times New Roman" w:hAnsi="Times New Roman"/>
                <w:sz w:val="16"/>
              </w:rPr>
              <w:t>0</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w:t>
            </w:r>
          </w:p>
        </w:tc>
      </w:tr>
      <w:tr>
        <w:tc>
          <w:tcPr>
            <w:tcW w:type="dxa" w:w="1984"/>
          </w:tcPr>
          <w:p>
            <w:pPr>
              <w:jc w:val="left"/>
            </w:pPr>
            <w:r/>
            <w:r>
              <w:rPr>
                <w:rFonts w:ascii="Times New Roman" w:hAnsi="Times New Roman"/>
                <w:sz w:val="16"/>
              </w:rPr>
              <w:t>Ingeniería y Campo</w:t>
            </w:r>
          </w:p>
        </w:tc>
        <w:tc>
          <w:tcPr>
            <w:tcW w:type="dxa" w:w="2886"/>
          </w:tcPr>
          <w:p>
            <w:pPr>
              <w:jc w:val="left"/>
            </w:pPr>
            <w:r/>
            <w:r>
              <w:rPr>
                <w:rFonts w:ascii="Times New Roman" w:hAnsi="Times New Roman"/>
                <w:sz w:val="16"/>
              </w:rPr>
              <w:t>Ingenieros Residentes / Coordinadores (SIHO-A,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3</w:t>
            </w:r>
          </w:p>
        </w:tc>
        <w:tc>
          <w:tcPr>
            <w:tcW w:type="dxa" w:w="1134"/>
          </w:tcPr>
          <w:p>
            <w:pPr>
              <w:jc w:val="center"/>
            </w:pPr>
            <w:r/>
            <w:r>
              <w:rPr>
                <w:rFonts w:ascii="Times New Roman" w:hAnsi="Times New Roman"/>
                <w:sz w:val="16"/>
              </w:rPr>
              <w:t>5</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Inspectores (SIHO, Ambiente, Paramédicos, Calidad)</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2</w:t>
            </w:r>
          </w:p>
        </w:tc>
        <w:tc>
          <w:tcPr>
            <w:tcW w:type="dxa" w:w="1134"/>
          </w:tcPr>
          <w:p>
            <w:pPr>
              <w:jc w:val="center"/>
            </w:pPr>
            <w:r/>
            <w:r>
              <w:rPr>
                <w:rFonts w:ascii="Times New Roman" w:hAnsi="Times New Roman"/>
                <w:sz w:val="16"/>
              </w:rPr>
              <w:t>4</w:t>
            </w:r>
          </w:p>
        </w:tc>
      </w:tr>
      <w:tr>
        <w:tc>
          <w:tcPr>
            <w:tcW w:type="dxa" w:w="1984"/>
          </w:tcPr>
          <w:p>
            <w:pPr>
              <w:jc w:val="left"/>
            </w:pPr>
            <w:r/>
            <w:r>
              <w:rPr>
                <w:rFonts w:ascii="Times New Roman" w:hAnsi="Times New Roman"/>
                <w:sz w:val="16"/>
              </w:rPr>
            </w:r>
          </w:p>
        </w:tc>
        <w:tc>
          <w:tcPr>
            <w:tcW w:type="dxa" w:w="2886"/>
          </w:tcPr>
          <w:p>
            <w:pPr>
              <w:jc w:val="left"/>
            </w:pPr>
            <w:r/>
            <w:r>
              <w:rPr>
                <w:rFonts w:ascii="Times New Roman" w:hAnsi="Times New Roman"/>
                <w:sz w:val="16"/>
              </w:rPr>
              <w:t>Supervisor de Obras, Operadores, Chóferes, Soldadores, Obreros</w:t>
            </w:r>
          </w:p>
        </w:tc>
        <w:tc>
          <w:tcPr>
            <w:tcW w:type="dxa" w:w="1134"/>
          </w:tcPr>
          <w:p>
            <w:pPr>
              <w:jc w:val="center"/>
            </w:pPr>
            <w:r/>
            <w:r>
              <w:rPr>
                <w:rFonts w:ascii="Times New Roman" w:hAnsi="Times New Roman"/>
                <w:sz w:val="16"/>
              </w:rPr>
              <w:t>1</w:t>
            </w:r>
          </w:p>
        </w:tc>
        <w:tc>
          <w:tcPr>
            <w:tcW w:type="dxa" w:w="1134"/>
          </w:tcPr>
          <w:p>
            <w:pPr>
              <w:jc w:val="center"/>
            </w:pPr>
            <w:r/>
            <w:r>
              <w:rPr>
                <w:rFonts w:ascii="Times New Roman" w:hAnsi="Times New Roman"/>
                <w:sz w:val="16"/>
              </w:rPr>
              <w:t>10</w:t>
            </w:r>
          </w:p>
        </w:tc>
        <w:tc>
          <w:tcPr>
            <w:tcW w:type="dxa" w:w="1134"/>
          </w:tcPr>
          <w:p>
            <w:pPr>
              <w:jc w:val="center"/>
            </w:pPr>
            <w:r/>
            <w:r>
              <w:rPr>
                <w:rFonts w:ascii="Times New Roman" w:hAnsi="Times New Roman"/>
                <w:sz w:val="16"/>
              </w:rPr>
              <w:t>11</w:t>
            </w:r>
          </w:p>
        </w:tc>
      </w:tr>
      <w:tr>
        <w:tc>
          <w:tcPr>
            <w:tcW w:type="dxa" w:w="1984"/>
          </w:tcPr>
          <w:p>
            <w:pPr>
              <w:jc w:val="left"/>
            </w:pPr>
            <w:r/>
            <w:r>
              <w:rPr>
                <w:rFonts w:ascii="Times New Roman" w:hAnsi="Times New Roman"/>
                <w:sz w:val="16"/>
              </w:rPr>
              <w:t>TOTAL GENERAL</w:t>
            </w:r>
          </w:p>
        </w:tc>
        <w:tc>
          <w:tcPr>
            <w:tcW w:type="dxa" w:w="2886"/>
          </w:tcPr>
          <w:p>
            <w:pPr>
              <w:jc w:val="left"/>
            </w:pPr>
            <w:r/>
            <w:r>
              <w:rPr>
                <w:rFonts w:ascii="Times New Roman" w:hAnsi="Times New Roman"/>
                <w:sz w:val="16"/>
              </w:rPr>
            </w:r>
          </w:p>
        </w:tc>
        <w:tc>
          <w:tcPr>
            <w:tcW w:type="dxa" w:w="1134"/>
          </w:tcPr>
          <w:p>
            <w:pPr>
              <w:jc w:val="center"/>
            </w:pPr>
            <w:r/>
            <w:r>
              <w:rPr>
                <w:rFonts w:ascii="Times New Roman" w:hAnsi="Times New Roman"/>
                <w:sz w:val="16"/>
              </w:rPr>
              <w:t>14</w:t>
            </w:r>
          </w:p>
        </w:tc>
        <w:tc>
          <w:tcPr>
            <w:tcW w:type="dxa" w:w="1134"/>
          </w:tcPr>
          <w:p>
            <w:pPr>
              <w:jc w:val="center"/>
            </w:pPr>
            <w:r/>
            <w:r>
              <w:rPr>
                <w:rFonts w:ascii="Times New Roman" w:hAnsi="Times New Roman"/>
                <w:sz w:val="16"/>
              </w:rPr>
              <w:t>28</w:t>
            </w:r>
          </w:p>
        </w:tc>
        <w:tc>
          <w:tcPr>
            <w:tcW w:type="dxa" w:w="1134"/>
          </w:tcPr>
          <w:p>
            <w:pPr>
              <w:jc w:val="center"/>
            </w:pPr>
            <w:r/>
            <w:r>
              <w:rPr>
                <w:rFonts w:ascii="Times New Roman" w:hAnsi="Times New Roman"/>
                <w:sz w:val="16"/>
              </w:rPr>
              <w:t>42</w:t>
            </w:r>
          </w:p>
        </w:tc>
      </w:tr>
    </w:tbl>
    <w:p>
      <w:pPr>
        <w:spacing w:before="120"/>
      </w:pPr>
      <w:r>
        <w:rPr>
          <w:rFonts w:ascii="Times New Roman" w:hAnsi="Times New Roman"/>
          <w:i/>
          <w:sz w:val="16"/>
        </w:rPr>
        <w:t>Fuente: Información suministrada por Lubricantes y Equipos Varyna, C.A. (2026).</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A continuación, se presenta la estructura organizativa de la empresa, reflejando las líneas de mando y la distribución de los departamentos administrativos y de procura. Los departamentos que conforman la organización son los siguientes:</w:t>
      </w:r>
    </w:p>
    <w:p>
      <w:pPr>
        <w:spacing w:line="360" w:lineRule="auto" w:after="0" w:before="0"/>
        <w:ind w:firstLine="709"/>
        <w:jc w:val="both"/>
      </w:pPr>
      <w:r>
        <w:rPr>
          <w:rFonts w:ascii="Times New Roman" w:hAnsi="Times New Roman"/>
          <w:i w:val="0"/>
          <w:sz w:val="24"/>
        </w:rPr>
        <w:t>Gerencia General: Es la máxima autoridad ejecutiva encargada de la dirección estratégica, la toma de decisiones corporativas y el cumplimiento de los objetivos globales de la organización.</w:t>
      </w:r>
    </w:p>
    <w:p>
      <w:pPr>
        <w:spacing w:line="360" w:lineRule="auto" w:after="0" w:before="0"/>
        <w:ind w:firstLine="709"/>
        <w:jc w:val="both"/>
      </w:pPr>
      <w:r>
        <w:rPr>
          <w:rFonts w:ascii="Times New Roman" w:hAnsi="Times New Roman"/>
          <w:i w:val="0"/>
          <w:sz w:val="24"/>
        </w:rPr>
        <w:t>Gerencia de Operaciones: Coordina y supervisa la ejecución técnica y operativa de los proyectos, garantizando la eficiencia en el uso de recursos e infraestructura en campo.</w:t>
      </w:r>
    </w:p>
    <w:p>
      <w:pPr>
        <w:spacing w:line="360" w:lineRule="auto" w:after="0" w:before="0"/>
        <w:ind w:firstLine="709"/>
        <w:jc w:val="both"/>
      </w:pPr>
      <w:r>
        <w:rPr>
          <w:rFonts w:ascii="Times New Roman" w:hAnsi="Times New Roman"/>
          <w:i w:val="0"/>
          <w:sz w:val="24"/>
        </w:rPr>
        <w:t>Gerencia de Control y Avance (y Operaciones Morichal): Responsable de monitorear el rendimiento, cumplimiento de metas de avance físico de obras y la logística operativa regional en el área de Morichal.</w:t>
      </w:r>
    </w:p>
    <w:p>
      <w:pPr>
        <w:spacing w:line="360" w:lineRule="auto" w:after="0" w:before="0"/>
        <w:ind w:firstLine="709"/>
        <w:jc w:val="both"/>
      </w:pPr>
      <w:r>
        <w:rPr>
          <w:rFonts w:ascii="Times New Roman" w:hAnsi="Times New Roman"/>
          <w:i w:val="0"/>
          <w:sz w:val="24"/>
        </w:rPr>
        <w:t>Departamento Administrativo (Área de Pasantía): Unidad encargada de la gestión financiera, presupuestaria, logística interna, control contable e inventarios. En este departamento se desenvuelve la pasante en el rol de Asistente Administrativo, brindando apoyo operativo y de control, con énfasis en el área de Procura (Compras y Logística) mediante la recepción de requerimientos, solicitud de cotizaciones, selección de proveedores y seguimiento a la adquisición oportuna de bienes, materiales y servicios esenciales.</w:t>
      </w:r>
    </w:p>
    <w:p>
      <w:pPr>
        <w:spacing w:line="360" w:lineRule="auto" w:after="0" w:before="0"/>
        <w:ind w:firstLine="709"/>
        <w:jc w:val="both"/>
      </w:pPr>
      <w:r>
        <w:rPr>
          <w:rFonts w:ascii="Times New Roman" w:hAnsi="Times New Roman"/>
          <w:i w:val="0"/>
          <w:sz w:val="24"/>
        </w:rPr>
        <w:t>Gerencia de Contratación y Administración de Contratos: Encargada del análisis de costos, estimaciones presupuestarias, planificación y control legal y operativo de las licitaciones y contratos vigentes.</w:t>
      </w:r>
    </w:p>
    <w:p>
      <w:pPr>
        <w:spacing w:line="360" w:lineRule="auto" w:after="0" w:before="0"/>
        <w:ind w:firstLine="709"/>
        <w:jc w:val="both"/>
      </w:pPr>
      <w:r>
        <w:rPr>
          <w:rFonts w:ascii="Times New Roman" w:hAnsi="Times New Roman"/>
          <w:i w:val="0"/>
          <w:sz w:val="24"/>
        </w:rPr>
        <w:t>Gerencia de Recursos Humanos y Relaciones Laborales: Dirige el reclutamiento, selección, administración de personal, nómina y la gestión del clima laboral de la empresa.</w:t>
      </w:r>
    </w:p>
    <w:p>
      <w:pPr>
        <w:spacing w:line="360" w:lineRule="auto" w:after="0" w:before="0"/>
        <w:ind w:firstLine="709"/>
        <w:jc w:val="both"/>
      </w:pPr>
      <w:r>
        <w:rPr>
          <w:rFonts w:ascii="Times New Roman" w:hAnsi="Times New Roman"/>
          <w:i w:val="0"/>
          <w:sz w:val="24"/>
        </w:rPr>
        <w:t>Gerencias Técnicas (Proyectos, Optimización, Servicios Eléctricos y Metalmecánico): Áreas especializadas dedicadas al diseño, mantenimiento, ejecución de estructuras metálicas y optimización de servicios de ingeniería en campo.</w:t>
      </w:r>
    </w:p>
    <w:p>
      <w:pPr>
        <w:spacing w:line="360" w:lineRule="auto" w:after="0" w:before="0"/>
        <w:ind w:firstLine="709"/>
        <w:jc w:val="both"/>
      </w:pPr>
      <w:r>
        <w:rPr>
          <w:rFonts w:ascii="Times New Roman" w:hAnsi="Times New Roman"/>
          <w:i w:val="0"/>
          <w:sz w:val="24"/>
        </w:rPr>
        <w:t>Coordinaciones de SIHO-A y Calidad: Unidades orientadas a garantizar la Seguridad Industrial, Higiene Ocupacional y Ambiente, asegurando el cumplimiento de normas de prevención de riesgos y estándares de calidad en las operaciones.</w:t>
      </w:r>
    </w:p>
    <w:p>
      <w:pPr>
        <w:spacing w:before="480"/>
        <w:jc w:val="center"/>
      </w:pPr>
      <w:r>
        <w:drawing>
          <wp:inline xmlns:a="http://schemas.openxmlformats.org/drawingml/2006/main" xmlns:pic="http://schemas.openxmlformats.org/drawingml/2006/picture">
            <wp:extent cx="4320000" cy="2603179"/>
            <wp:docPr id="4" name="Picture 4"/>
            <wp:cNvGraphicFramePr>
              <a:graphicFrameLocks noChangeAspect="1"/>
            </wp:cNvGraphicFramePr>
            <a:graphic>
              <a:graphicData uri="http://schemas.openxmlformats.org/drawingml/2006/picture">
                <pic:pic>
                  <pic:nvPicPr>
                    <pic:cNvPr id="0" name="2.png"/>
                    <pic:cNvPicPr/>
                  </pic:nvPicPr>
                  <pic:blipFill>
                    <a:blip r:embed="rId12"/>
                    <a:stretch>
                      <a:fillRect/>
                    </a:stretch>
                  </pic:blipFill>
                  <pic:spPr>
                    <a:xfrm>
                      <a:off x="0" y="0"/>
                      <a:ext cx="4320000" cy="2603179"/>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estructural y niveles jerárquicos de la organización.</w:t>
      </w:r>
      <w:bookmarkEnd w:id="bm_grafico3"/>
    </w:p>
    <w:p>
      <w:pPr>
        <w:sectPr>
          <w:footerReference w:type="default" r:id="rId32"/>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3"/>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before="480" w:after="480" w:line="360" w:lineRule="auto"/>
        <w:jc w:val="left"/>
      </w:pPr>
      <w:r>
        <w:rPr>
          <w:rFonts w:ascii="Times New Roman" w:hAnsi="Times New Roman"/>
          <w:b/>
          <w:sz w:val="24"/>
        </w:rPr>
        <w:t>Nivel macro</w:t>
      </w:r>
    </w:p>
    <w:p>
      <w:pPr>
        <w:spacing w:line="360" w:lineRule="auto" w:after="0" w:before="0"/>
        <w:ind w:firstLine="709"/>
        <w:jc w:val="both"/>
      </w:pPr>
      <w:r>
        <w:rPr>
          <w:rFonts w:ascii="Times New Roman" w:hAnsi="Times New Roman"/>
          <w:i w:val="0"/>
          <w:sz w:val="24"/>
        </w:rPr>
        <w:t>En las organizaciones, los procesos de procura requieren coordinación entre las unidades que solicitan bienes o servicios, el personal encargado de compras, los responsables de autorización y los proveedores. Cuando las etapas no están claramente definidas, pueden presentarse duplicidades, retrasos y dificultades para conocer el estado de una solicitud, por lo que la simplificación administrativa debe orientarse a ordenar el recorrido documental sin eliminar los controles necesarios.</w:t>
      </w:r>
    </w:p>
    <w:p>
      <w:pPr>
        <w:spacing w:line="360" w:lineRule="auto" w:after="0" w:before="0"/>
        <w:ind w:firstLine="709"/>
        <w:jc w:val="both"/>
      </w:pPr>
      <w:r>
        <w:rPr>
          <w:rFonts w:ascii="Times New Roman" w:hAnsi="Times New Roman"/>
          <w:i w:val="0"/>
          <w:sz w:val="24"/>
        </w:rPr>
        <w:t>Desde la perspectiva administrativa, un procedimiento de compras resulta más controlable cuando dispone de canales de recepción definidos, formatos uniformes, responsables identificados y mecanismos de seguimiento. Estos elementos permiten disminuir la dependencia de acuerdos informales y facilitan que la información necesaria para cada adquisición se encuentre disponible durante las distintas fases del proceso.</w:t>
      </w:r>
    </w:p>
    <w:p>
      <w:pPr>
        <w:spacing w:before="480" w:after="480" w:line="360" w:lineRule="auto"/>
        <w:jc w:val="left"/>
      </w:pPr>
      <w:r>
        <w:rPr>
          <w:rFonts w:ascii="Times New Roman" w:hAnsi="Times New Roman"/>
          <w:b/>
          <w:sz w:val="24"/>
        </w:rPr>
        <w:t>Nivel meso</w:t>
      </w:r>
    </w:p>
    <w:p>
      <w:pPr>
        <w:spacing w:line="360" w:lineRule="auto" w:after="0" w:before="0"/>
        <w:ind w:firstLine="709"/>
        <w:jc w:val="both"/>
      </w:pPr>
      <w:r>
        <w:rPr>
          <w:rFonts w:ascii="Times New Roman" w:hAnsi="Times New Roman"/>
          <w:i w:val="0"/>
          <w:sz w:val="24"/>
        </w:rPr>
        <w:t>En empresas vinculadas con actividades petroleras, industriales y de construcción, la disponibilidad oportuna de materiales e insumos influye directamente en la continuidad de las operaciones. Por esta razón, el departamento administrativo debe mantener coordinación con las áreas solicitantes y con los proveedores, procurando que las requisiciones, cotizaciones y aprobaciones avancen mediante una secuencia comprensible y verificable.</w:t>
      </w:r>
    </w:p>
    <w:p>
      <w:pPr>
        <w:spacing w:line="360" w:lineRule="auto" w:after="0" w:before="0"/>
        <w:ind w:firstLine="709"/>
        <w:jc w:val="both"/>
      </w:pPr>
      <w:r>
        <w:rPr>
          <w:rFonts w:ascii="Times New Roman" w:hAnsi="Times New Roman"/>
          <w:i w:val="0"/>
          <w:sz w:val="24"/>
        </w:rPr>
        <w:t>Cuando el proceso de procura depende de formatos diferentes, canales dispersos de recepción o aprobaciones sin criterios previamente definidos, el personal debe invertir tiempo adicional en ubicar información, verificar solicitudes y determinar el estado de cada compra. Esta situación puede trasladar demoras administrativas hacia las actividades operativas que dependen de los suministros requeridos.</w:t>
      </w:r>
    </w:p>
    <w:p>
      <w:pPr>
        <w:spacing w:before="480" w:after="480" w:line="360" w:lineRule="auto"/>
        <w:jc w:val="left"/>
      </w:pPr>
      <w:r>
        <w:rPr>
          <w:rFonts w:ascii="Times New Roman" w:hAnsi="Times New Roman"/>
          <w:b/>
          <w:sz w:val="24"/>
        </w:rPr>
        <w:t>Nivel micro</w:t>
      </w:r>
    </w:p>
    <w:p>
      <w:pPr>
        <w:spacing w:line="360" w:lineRule="auto" w:after="0" w:before="0"/>
        <w:ind w:firstLine="709"/>
        <w:jc w:val="both"/>
      </w:pPr>
      <w:r>
        <w:rPr>
          <w:rFonts w:ascii="Times New Roman" w:hAnsi="Times New Roman"/>
          <w:i w:val="0"/>
          <w:sz w:val="24"/>
        </w:rPr>
        <w:t>En el Departamento Administrativo de Lubricantes y Equipos Varyna, C.A., se identificó una situación desfavorable relacionada con la dispersión del flujo procedimental de la procura. Las solicitudes de compra no cuentan con un canal único formalizado de recepción y se observaron oportunidades de mejora en la estandarización de los formatos utilizados para solicitar cotizaciones, emitir órdenes de compra y efectuar el seguimiento de cada adquisición.</w:t>
      </w:r>
    </w:p>
    <w:p>
      <w:pPr>
        <w:spacing w:line="360" w:lineRule="auto" w:after="0" w:before="0"/>
        <w:ind w:firstLine="709"/>
        <w:jc w:val="both"/>
      </w:pPr>
      <w:r>
        <w:rPr>
          <w:rFonts w:ascii="Times New Roman" w:hAnsi="Times New Roman"/>
          <w:i w:val="0"/>
          <w:sz w:val="24"/>
        </w:rPr>
        <w:t>Entre las manifestaciones observadas se encuentran cuellos de botella en las aprobaciones, dificultad para conocer el estatus de algunas cotizaciones, ausencia de niveles de autorización claramente definidos por monto y limitada disponibilidad de indicadores que permitan valorar el desempeño del ciclo de compras. Como consecuencia, se prolongan los tiempos de respuesta, se reduce la trazabilidad documental y aumenta la carga de seguimiento manual sobre el personal del área.</w:t>
      </w:r>
    </w:p>
    <w:p>
      <w:pPr>
        <w:spacing w:line="360" w:lineRule="auto" w:after="0" w:before="0"/>
        <w:ind w:firstLine="709"/>
        <w:jc w:val="both"/>
      </w:pPr>
      <w:r>
        <w:rPr>
          <w:rFonts w:ascii="Times New Roman" w:hAnsi="Times New Roman"/>
          <w:i w:val="0"/>
          <w:sz w:val="24"/>
        </w:rPr>
        <w:t>La situación descrita evidencia la necesidad de formular una propuesta de simplificación administrativa que organice el recorrido de las requisiciones, defina responsables, estandarice documentos y establezca mecanismos de seguimiento compatibles con el control interno del departamento.</w:t>
      </w:r>
    </w:p>
    <w:p>
      <w:pPr>
        <w:spacing w:before="480" w:after="480" w:line="360" w:lineRule="auto"/>
        <w:jc w:val="left"/>
      </w:pPr>
      <w:r>
        <w:rPr>
          <w:rFonts w:ascii="Times New Roman" w:hAnsi="Times New Roman"/>
          <w:b/>
          <w:sz w:val="24"/>
        </w:rPr>
        <w:t>Técnica empleada para el diagnóstico</w:t>
      </w:r>
    </w:p>
    <w:p>
      <w:pPr>
        <w:spacing w:line="360" w:lineRule="auto" w:after="0" w:before="0"/>
        <w:ind w:firstLine="709"/>
        <w:jc w:val="both"/>
      </w:pPr>
      <w:r>
        <w:rPr>
          <w:rFonts w:ascii="Times New Roman" w:hAnsi="Times New Roman"/>
          <w:i w:val="0"/>
          <w:sz w:val="24"/>
        </w:rPr>
        <w:t>Para organizar las causas de la problemática se utilizó el diagrama de causa-efecto o diagrama de Ishikawa, complementado con observación directa del flujo de procura, entrevistas estructuradas al personal y revisión de expedientes de compras. La técnica permitió agrupar factores asociados a procedimientos, responsabilidades, documentación y seguimiento, facilitando la identificación de los puntos que debían atenderse en la propuesta.</w:t>
      </w:r>
    </w:p>
    <w:p>
      <w:pPr>
        <w:spacing w:before="480" w:after="480" w:line="360" w:lineRule="auto"/>
        <w:jc w:val="left"/>
      </w:pPr>
      <w:r>
        <w:rPr>
          <w:rFonts w:ascii="Times New Roman" w:hAnsi="Times New Roman"/>
          <w:b/>
          <w:sz w:val="24"/>
        </w:rPr>
        <w:t>Interrogante orientadora</w:t>
      </w:r>
    </w:p>
    <w:p>
      <w:pPr>
        <w:spacing w:line="360" w:lineRule="auto" w:after="0" w:before="0"/>
        <w:ind w:firstLine="709"/>
        <w:jc w:val="both"/>
      </w:pPr>
      <w:r>
        <w:rPr>
          <w:rFonts w:ascii="Times New Roman" w:hAnsi="Times New Roman"/>
          <w:i w:val="0"/>
          <w:sz w:val="24"/>
        </w:rPr>
        <w:t>¿Cómo puede formularse una propuesta de simplificación administrativa del proceso de procura en el Departamento Administrativo de Lubricantes y Equipos Varyna, C.A., que reduzca la dispersión procedimental y fortalezca el seguimiento de las adquisiciones?</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Proponer la simplificación administrativa del proceso de procura en el Departamento Administrativo de Lubricantes y Equipos Varyna, C.A., con la finalidad de agilizar el ciclo de adquisición y fortalecer el control interno.</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Diagnosticar el proceso actual de procura en el Departamento Administrativo de Lubricantes y Equipos Varyna, C.A., para conocer el recorrido de las requisiciones y los mecanismos de control utilizados.</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redundancias y causas que generan retrasos o pérdida de trazabilidad en las fases de recepción, cotización, aprobación y seguimiento de las adquisiciones.</w:t>
      </w:r>
    </w:p>
    <w:p>
      <w:pPr>
        <w:spacing w:line="360" w:lineRule="auto"/>
        <w:ind w:firstLine="709"/>
        <w:jc w:val="both"/>
      </w:pPr>
      <w:r>
        <w:rPr>
          <w:rFonts w:ascii="Times New Roman" w:hAnsi="Times New Roman"/>
          <w:sz w:val="24"/>
        </w:rPr>
        <w:t xml:space="preserve">3. </w:t>
      </w:r>
      <w:r>
        <w:rPr>
          <w:rFonts w:ascii="Times New Roman" w:hAnsi="Times New Roman"/>
          <w:sz w:val="24"/>
        </w:rPr>
        <w:t>Formular una propuesta de simplificación administrativa del proceso de procura que integre un flujo definido, responsables, formatos estandarizados, criterios de autorización y mecanismos de seguimiento.</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relaciona los tres objetivos específicos con las actividades, técnicas e instrumentos necesarios para diagnosticar el proceso, identificar sus deficiencias y formular la propuesta de simplificación administrativa:</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Diagnosticar el proceso actual de procura en el Departamento Administrativo de Lubricantes y Equipos Varyna, C.A., para conocer el recorrido de las requisiciones y los mecanismos de control utilizados.</w:t>
            </w:r>
          </w:p>
        </w:tc>
        <w:tc>
          <w:tcPr>
            <w:tcW w:w="1644" w:type="dxa"/>
            <w:shd w:val="clear" w:color="auto" w:fill="FFFFFF"/>
          </w:tcPr>
          <w:p>
            <w:pPr>
              <w:spacing w:before="60" w:after="60" w:line="240" w:lineRule="auto"/>
              <w:jc w:val="both"/>
            </w:pPr>
            <w:r>
              <w:rPr>
                <w:rFonts w:ascii="Times New Roman" w:hAnsi="Times New Roman"/>
                <w:b w:val="0"/>
                <w:color w:val="000000"/>
                <w:sz w:val="20"/>
              </w:rPr>
              <w:t>Proceso actual de procura y recorrido de las requisiciones.</w:t>
            </w:r>
          </w:p>
        </w:tc>
        <w:tc>
          <w:tcPr>
            <w:tcW w:w="1644" w:type="dxa"/>
            <w:shd w:val="clear" w:color="auto" w:fill="FFFFFF"/>
          </w:tcPr>
          <w:p>
            <w:pPr>
              <w:spacing w:before="60" w:after="60" w:line="240" w:lineRule="auto"/>
              <w:jc w:val="both"/>
            </w:pPr>
            <w:r>
              <w:rPr>
                <w:rFonts w:ascii="Times New Roman" w:hAnsi="Times New Roman"/>
                <w:b w:val="0"/>
                <w:color w:val="000000"/>
                <w:sz w:val="20"/>
              </w:rPr>
              <w:t>Observar el ciclo de compras, levantar el flujo existente y aplicar una entrevista estructurada al personal relacionado con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entrevista estructurada y revisión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guía de entrevista, cuaderno de notas y expedientes de compra.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redundancias y causas que generan retrasos o pérdida de trazabilidad en las fases de recepción, cotización, aprobación y seguimiento de las adquisiciones.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redundancias y causas de demora del proceso.</w:t>
            </w:r>
          </w:p>
        </w:tc>
        <w:tc>
          <w:tcPr>
            <w:tcW w:w="1644" w:type="dxa"/>
            <w:shd w:val="clear" w:color="auto" w:fill="D9E1F2"/>
          </w:tcPr>
          <w:p>
            <w:pPr>
              <w:spacing w:before="60" w:after="60" w:line="240" w:lineRule="auto"/>
              <w:jc w:val="both"/>
            </w:pPr>
            <w:r>
              <w:rPr>
                <w:rFonts w:ascii="Times New Roman" w:hAnsi="Times New Roman"/>
                <w:b w:val="0"/>
                <w:color w:val="000000"/>
                <w:sz w:val="20"/>
              </w:rPr>
              <w:t>Revisar expedientes históricos, comparar tiempos por fase, identificar cuellos de botella y elaborar el diagrama de Ishikawa.</w:t>
            </w:r>
          </w:p>
        </w:tc>
        <w:tc>
          <w:tcPr>
            <w:tcW w:w="1644" w:type="dxa"/>
            <w:shd w:val="clear" w:color="auto" w:fill="D9E1F2"/>
          </w:tcPr>
          <w:p>
            <w:pPr>
              <w:spacing w:before="60" w:after="60" w:line="240" w:lineRule="auto"/>
              <w:jc w:val="both"/>
            </w:pPr>
            <w:r>
              <w:rPr>
                <w:rFonts w:ascii="Times New Roman" w:hAnsi="Times New Roman"/>
                <w:b w:val="0"/>
                <w:color w:val="000000"/>
                <w:sz w:val="20"/>
              </w:rPr>
              <w:t>Análisis documental, análisis de tiempos y diagrama causa-efecto.</w:t>
            </w:r>
          </w:p>
        </w:tc>
        <w:tc>
          <w:tcPr>
            <w:tcW w:w="1695" w:type="dxa"/>
            <w:shd w:val="clear" w:color="auto" w:fill="D9E1F2"/>
          </w:tcPr>
          <w:p>
            <w:pPr>
              <w:spacing w:before="60" w:after="60" w:line="240" w:lineRule="auto"/>
              <w:jc w:val="both"/>
            </w:pPr>
            <w:r>
              <w:rPr>
                <w:rFonts w:ascii="Times New Roman" w:hAnsi="Times New Roman"/>
                <w:b w:val="0"/>
                <w:color w:val="000000"/>
                <w:sz w:val="20"/>
              </w:rPr>
              <w:t>Hojas de registro, expedientes históricos, hoja de cálculo y matriz de causas.</w:t>
            </w:r>
          </w:p>
        </w:tc>
      </w:tr>
      <w:tr>
        <w:tc>
          <w:tcPr>
            <w:tcW w:w="1644" w:type="dxa"/>
            <w:shd w:val="clear" w:color="auto" w:fill="FFFFFF"/>
          </w:tcPr>
          <w:p>
            <w:pPr>
              <w:spacing w:before="60" w:after="60" w:line="240" w:lineRule="auto"/>
              <w:jc w:val="both"/>
            </w:pPr>
            <w:r>
              <w:rPr>
                <w:rFonts w:ascii="Times New Roman" w:hAnsi="Times New Roman"/>
                <w:b w:val="0"/>
                <w:color w:val="000000"/>
                <w:sz w:val="20"/>
              </w:rPr>
              <w:t>Formular una propuesta de simplificación administrativa del proceso de procura que integre un flujo definido, responsables, formatos estandarizados, criterios de autorización y mecanismos de seguimiento.</w:t>
            </w:r>
          </w:p>
        </w:tc>
        <w:tc>
          <w:tcPr>
            <w:tcW w:w="1644" w:type="dxa"/>
            <w:shd w:val="clear" w:color="auto" w:fill="FFFFFF"/>
          </w:tcPr>
          <w:p>
            <w:pPr>
              <w:spacing w:before="60" w:after="60" w:line="240" w:lineRule="auto"/>
              <w:jc w:val="both"/>
            </w:pPr>
            <w:r>
              <w:rPr>
                <w:rFonts w:ascii="Times New Roman" w:hAnsi="Times New Roman"/>
                <w:b w:val="0"/>
                <w:color w:val="000000"/>
                <w:sz w:val="20"/>
              </w:rPr>
              <w:t>Propuesta de simplificación administrativa de la procura.</w:t>
            </w:r>
          </w:p>
        </w:tc>
        <w:tc>
          <w:tcPr>
            <w:tcW w:w="1644" w:type="dxa"/>
            <w:shd w:val="clear" w:color="auto" w:fill="FFFFFF"/>
          </w:tcPr>
          <w:p>
            <w:pPr>
              <w:spacing w:before="60" w:after="60" w:line="240" w:lineRule="auto"/>
              <w:jc w:val="both"/>
            </w:pPr>
            <w:r>
              <w:rPr>
                <w:rFonts w:ascii="Times New Roman" w:hAnsi="Times New Roman"/>
                <w:b w:val="0"/>
                <w:color w:val="000000"/>
                <w:sz w:val="20"/>
              </w:rPr>
              <w:t>Diseñar el flujo simplificado, formatos de solicitud y orden de compra, matriz de autorización por monto e indicadores básicos de seguimiento; validar la propuesta con el tutor industrial.</w:t>
            </w:r>
          </w:p>
        </w:tc>
        <w:tc>
          <w:tcPr>
            <w:tcW w:w="1644" w:type="dxa"/>
            <w:shd w:val="clear" w:color="auto" w:fill="FFFFFF"/>
          </w:tcPr>
          <w:p>
            <w:pPr>
              <w:spacing w:before="60" w:after="60" w:line="240" w:lineRule="auto"/>
              <w:jc w:val="both"/>
            </w:pPr>
            <w:r>
              <w:rPr>
                <w:rFonts w:ascii="Times New Roman" w:hAnsi="Times New Roman"/>
                <w:b w:val="0"/>
                <w:color w:val="000000"/>
                <w:sz w:val="20"/>
              </w:rPr>
              <w:t>Diseño procedimental, estandarización de formatos y validación técnica.</w:t>
            </w:r>
          </w:p>
        </w:tc>
        <w:tc>
          <w:tcPr>
            <w:tcW w:w="1695" w:type="dxa"/>
            <w:shd w:val="clear" w:color="auto" w:fill="FFFFFF"/>
          </w:tcPr>
          <w:p>
            <w:pPr>
              <w:spacing w:before="60" w:after="60" w:line="240" w:lineRule="auto"/>
              <w:jc w:val="both"/>
            </w:pPr>
            <w:r>
              <w:rPr>
                <w:rFonts w:ascii="Times New Roman" w:hAnsi="Times New Roman"/>
                <w:b w:val="0"/>
                <w:color w:val="000000"/>
                <w:sz w:val="20"/>
              </w:rPr>
              <w:t>Procesador de textos, hoja de cálculo, herramientas de diagramación y formato de validación.</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distribuye las actividades operativas y de análisis durante las diez (10) semanas de pasantía, manteniendo correspondencia con los objetivos específicos:</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 la pasantía.</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Departamento Administrativo y del área de procura.</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del flujo actual de requisiciones y compras.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Aplicación de entrevista estructurada y revisión de expedientes de compras.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Análisis de tiempos, cuellos de botella y elaboración del diagrama de Ishikawa.</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Diseño del flujo simplificado y definición de responsables y puntos de control.</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de formatos, matriz de autorización por monto e indicadores de seguimiento.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la propuesta de simplificación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Validación de la propuesta e incorporación de observaciones.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Presentación de la propuesta y consolidación del informe de pasantías.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Apoyo operativo en requisiciones, cotizaciones, proveedores y archivo de compras.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bl>
    <w:p/>
    <w:p>
      <w:pPr>
        <w:sectPr>
          <w:footerReference w:type="default" r:id="rId34"/>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5"/>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Procura y Gestión de Compras</w:t>
      </w:r>
      <w:bookmarkEnd w:id="bm_cap3_bases"/>
    </w:p>
    <w:p>
      <w:pPr>
        <w:spacing w:line="360" w:lineRule="auto" w:after="0" w:before="0"/>
        <w:ind w:firstLine="709"/>
        <w:jc w:val="both"/>
      </w:pPr>
      <w:r>
        <w:rPr>
          <w:rFonts w:ascii="Times New Roman" w:hAnsi="Times New Roman"/>
          <w:i w:val="0"/>
          <w:sz w:val="24"/>
        </w:rPr>
        <w:t>La procura se define como el conjunto de actividades orientadas a la adquisición de bienes, materiales e insumos necesarios para el funcionamiento continuo de una organización. Monterroso (2002) establece que la gestión de abastecimiento eficiente no se limita a la ejecución de compras, sino que abarca la planificación de necesidades, la selección de proveedores, la negociación de condiciones y el control del cumplimiento de los requerimientos en tiempo, calidad y costo.</w:t>
      </w:r>
    </w:p>
    <w:p>
      <w:pPr>
        <w:spacing w:line="360" w:lineRule="auto" w:after="0" w:before="0"/>
        <w:ind w:firstLine="709"/>
        <w:jc w:val="both"/>
      </w:pPr>
      <w:r>
        <w:rPr>
          <w:rFonts w:ascii="Times New Roman" w:hAnsi="Times New Roman"/>
          <w:i w:val="0"/>
          <w:sz w:val="24"/>
        </w:rPr>
        <w:t>Lo anterior cobra especial relevancia en el contexto de Lubricantes y Equipos Varyna, C.A., donde la procura constituye una función crítica para sostener las operaciones industriales y de campo. Durante el diagnóstico realizado, se pudo constatar que el departamento administrativo no cuenta con un canal formalizado de recepción de requisiciones, lo que impide que el proceso de abastecimiento se desarrolle de forma planificada y controlada tal como lo exige la teoría. En criterio de quien suscribe, esta ausencia de estructura procedimental es la causa raíz de los retrasos identificados, por encima incluso de factores humanos o tecnológicos.</w:t>
      </w:r>
    </w:p>
    <w:p>
      <w:pPr>
        <w:spacing w:line="360" w:lineRule="auto" w:after="0" w:before="0"/>
        <w:ind w:firstLine="709"/>
        <w:jc w:val="both"/>
      </w:pPr>
      <w:r>
        <w:rPr>
          <w:rFonts w:ascii="Times New Roman" w:hAnsi="Times New Roman"/>
          <w:i w:val="0"/>
          <w:sz w:val="24"/>
        </w:rPr>
        <w:t>Comprender la procura desde esta perspectiva teórica es el punto de partida indispensable para cualquier propuesta de mejora, pues permite identificar con precisión en cuáles fases del ciclo se concentran las ineficiencias. Para ello, resulta igualmente necesario examinar el marco administrativo general que debe regir la gestión de cualquier proceso organizacional, tal como se desarrolla en el apartado siguiente.</w:t>
      </w:r>
    </w:p>
    <w:p>
      <w:pPr>
        <w:spacing w:line="240" w:lineRule="auto" w:before="720" w:after="240"/>
        <w:ind w:left="709" w:right="709"/>
        <w:jc w:val="both"/>
      </w:pPr>
      <w:r>
        <w:rPr>
          <w:rFonts w:ascii="Times New Roman" w:hAnsi="Times New Roman"/>
          <w:sz w:val="24"/>
        </w:rPr>
        <w:t>La gestión de compras y abastecimiento comprende un conjunto de actividades que permiten identificar las necesidades de materiales e insumos de la organización, seleccionar adecuadamente a los proveedores, negociar las condiciones de adquisición más convenientes y asegurar que los bienes requeridos lleguen en las cantidades correctas, en el momento oportuno y al menor costo posible, contribuyendo directamente a la eficiencia operativa de la empresa.</w:t>
      </w:r>
      <w:r>
        <w:rPr>
          <w:rFonts w:ascii="Times New Roman" w:hAnsi="Times New Roman"/>
          <w:sz w:val="24"/>
        </w:rPr>
        <w:t xml:space="preserve"> (Monterroso, 2002, p. 3)</w:t>
      </w:r>
    </w:p>
    <w:p>
      <w:pPr>
        <w:spacing w:before="480" w:after="480" w:line="360" w:lineRule="auto"/>
        <w:jc w:val="left"/>
      </w:pPr>
      <w:r>
        <w:rPr>
          <w:rFonts w:ascii="Times New Roman" w:hAnsi="Times New Roman"/>
          <w:b/>
          <w:sz w:val="24"/>
        </w:rPr>
        <w:t>Proceso Administrativo</w:t>
      </w:r>
    </w:p>
    <w:p>
      <w:pPr>
        <w:spacing w:line="360" w:lineRule="auto" w:after="0" w:before="0"/>
        <w:ind w:firstLine="709"/>
        <w:jc w:val="both"/>
      </w:pPr>
      <w:r>
        <w:rPr>
          <w:rFonts w:ascii="Times New Roman" w:hAnsi="Times New Roman"/>
          <w:i w:val="0"/>
          <w:sz w:val="24"/>
        </w:rPr>
        <w:t>El proceso administrativo constituye el marco conceptual fundamental que rige el funcionamiento de las organizaciones modernas. Chiavenato (2006) lo describe como el conjunto secuencial e interrelacionado de funciones de planificación, organización, dirección y control, orientadas al logro eficiente de los objetivos organizacionales mediante el uso racional de los recursos disponibles.</w:t>
      </w:r>
    </w:p>
    <w:p>
      <w:pPr>
        <w:spacing w:line="360" w:lineRule="auto" w:after="0" w:before="0"/>
        <w:ind w:firstLine="709"/>
        <w:jc w:val="both"/>
      </w:pPr>
      <w:r>
        <w:rPr>
          <w:rFonts w:ascii="Times New Roman" w:hAnsi="Times New Roman"/>
          <w:i w:val="0"/>
          <w:sz w:val="24"/>
        </w:rPr>
        <w:t>Aplicado al contexto de la procura, el proceso administrativo provee la estructura metodológica necesaria para formalizar cada etapa del ciclo de compras. La planificación define las necesidades y tiempos de adquisición; la organización asigna responsabilidades claras a cada actor del proceso; la dirección asegura la ejecución coordinada de las actividades; y el control verifica el cumplimiento de los procedimientos y detecta desviaciones que requieren corrección.</w:t>
      </w:r>
    </w:p>
    <w:p>
      <w:pPr>
        <w:spacing w:line="360" w:lineRule="auto" w:after="0" w:before="0"/>
        <w:ind w:firstLine="709"/>
        <w:jc w:val="both"/>
      </w:pPr>
      <w:r>
        <w:rPr>
          <w:rFonts w:ascii="Times New Roman" w:hAnsi="Times New Roman"/>
          <w:i w:val="0"/>
          <w:sz w:val="24"/>
        </w:rPr>
        <w:t>Durante la observación directa realizada en Lubricantes y Equipos Varyna, C.A., se evidenció que ninguna de estas cuatro funciones se ejecuta de manera formal dentro del ciclo de compras. Las requisiciones se reciben sin planificación previa, las responsabilidades no están escritas ni asignadas con claridad, y no existe un mecanismo de control que permita detectar en qué fase se detiene cada expediente. Desde la perspectiva de quien elabora este trabajo, la ausencia del proceso administrativo como eje rector es lo que convierte un procedimiento que debería ser simple en una secuencia compleja y propensa a errores. La propuesta de simplificación desarrollada en los capítulos siguientes busca precisamente instaurar estas cuatro funciones de forma explícita dentro del nuevo flujo de procura. Para que dicho control sea efectivo, es necesario además comprender los mecanismos de control interno aplicables específicamente al área de compras, como se expone a continuación.</w:t>
      </w:r>
    </w:p>
    <w:p>
      <w:pPr>
        <w:spacing w:before="480" w:after="480" w:line="360" w:lineRule="auto"/>
        <w:jc w:val="left"/>
      </w:pPr>
      <w:r>
        <w:rPr>
          <w:rFonts w:ascii="Times New Roman" w:hAnsi="Times New Roman"/>
          <w:b/>
          <w:sz w:val="24"/>
        </w:rPr>
        <w:t>Control Interno en los Procesos de Compras</w:t>
      </w:r>
    </w:p>
    <w:p>
      <w:pPr>
        <w:spacing w:line="360" w:lineRule="auto" w:after="0" w:before="0"/>
        <w:ind w:firstLine="709"/>
        <w:jc w:val="both"/>
      </w:pPr>
      <w:r>
        <w:rPr>
          <w:rFonts w:ascii="Times New Roman" w:hAnsi="Times New Roman"/>
          <w:i w:val="0"/>
          <w:sz w:val="24"/>
        </w:rPr>
        <w:t>El control interno se define como el proceso diseñado e implementado por la dirección de una organización para proporcionar una seguridad razonable sobre la consecución de los objetivos en las categorías de eficiencia operativa, confiabilidad de la información financiera y cumplimiento de las normas aplicables. Mantilla (2005) señala que un sistema de control interno robusto en el área de compras minimiza los riesgos de fraude, duplicidad de pagos y adquisiciones no autorizadas.</w:t>
      </w:r>
    </w:p>
    <w:p>
      <w:pPr>
        <w:spacing w:line="360" w:lineRule="auto" w:after="0" w:before="0"/>
        <w:ind w:firstLine="709"/>
        <w:jc w:val="both"/>
      </w:pPr>
      <w:r>
        <w:rPr>
          <w:rFonts w:ascii="Times New Roman" w:hAnsi="Times New Roman"/>
          <w:i w:val="0"/>
          <w:sz w:val="24"/>
        </w:rPr>
        <w:t>En el proceso de procura de Lubricantes y Equipos Varyna, C.A., el fortalecimiento del control interno implica la definición de niveles de autorización por monto de compra, la implementación de formularios estandarizados de solicitud y la trazabilidad documental de cada expediente desde la requisición hasta la orden de compra cerrada. Estas medidas reducen la discrecionalidad en las decisiones de adquisición y aumentan la transparencia del proceso.</w:t>
      </w:r>
    </w:p>
    <w:p>
      <w:pPr>
        <w:spacing w:line="360" w:lineRule="auto" w:after="0" w:before="0"/>
        <w:ind w:firstLine="709"/>
        <w:jc w:val="both"/>
      </w:pPr>
      <w:r>
        <w:rPr>
          <w:rFonts w:ascii="Times New Roman" w:hAnsi="Times New Roman"/>
          <w:i w:val="0"/>
          <w:sz w:val="24"/>
        </w:rPr>
        <w:t>A juicio de quien suscribe, el control interno no debe entenderse como una carga burocrática adicional, sino como la garantía de que cada paso del proceso de compras tiene un propósito definido y un responsable identificable. En Lubricantes y Equipos Varyna, C.A., la inexistencia de niveles de autorización formales ha generado que decisiones de adquisición recaigan de manera discrecional sobre el personal disponible en el momento, sin criterios objetivos ni registros verificables. Incorporar mecanismos de control interno dentro del nuevo procedimiento simplificado no agrega complejidad al proceso, sino que le otorga la transparencia y trazabilidad que actualmente le faltan. Este enfoque de control se articula directamente con la noción de simplificación administrativa que fundamenta la propuesta, concepto que se desarrolla en el siguiente apartado.</w:t>
      </w:r>
    </w:p>
    <w:p>
      <w:pPr>
        <w:spacing w:before="480" w:after="480" w:line="360" w:lineRule="auto"/>
        <w:jc w:val="left"/>
      </w:pPr>
      <w:r>
        <w:rPr>
          <w:rFonts w:ascii="Times New Roman" w:hAnsi="Times New Roman"/>
          <w:b/>
          <w:sz w:val="24"/>
        </w:rPr>
        <w:t>Simplificación Administrativa de Procesos</w:t>
      </w:r>
    </w:p>
    <w:p>
      <w:pPr>
        <w:spacing w:line="360" w:lineRule="auto" w:after="0" w:before="0"/>
        <w:ind w:firstLine="709"/>
        <w:jc w:val="both"/>
      </w:pPr>
      <w:r>
        <w:rPr>
          <w:rFonts w:ascii="Times New Roman" w:hAnsi="Times New Roman"/>
          <w:i w:val="0"/>
          <w:sz w:val="24"/>
        </w:rPr>
        <w:t>La simplificación administrativa consiste en la revisión sistemática y el rediseño de los procedimientos organizacionales con el propósito de eliminar pasos innecesarios, reducir la burocracia interna y facilitar la ejecución ágil de las operaciones. Según Harrington (1993), un proceso simplificado debe ser comprensible para todos los actores involucrados, ejecutable con el menor número de pasos posible y orientado a resultados medibles y verificables.</w:t>
      </w:r>
    </w:p>
    <w:p>
      <w:pPr>
        <w:spacing w:line="360" w:lineRule="auto" w:after="0" w:before="0"/>
        <w:ind w:firstLine="709"/>
        <w:jc w:val="both"/>
      </w:pPr>
      <w:r>
        <w:rPr>
          <w:rFonts w:ascii="Times New Roman" w:hAnsi="Times New Roman"/>
          <w:i w:val="0"/>
          <w:sz w:val="24"/>
        </w:rPr>
        <w:t>En el ámbito de la administración de compras, la simplificación procedimental se traduce en la reducción de los ciclos de aprobación, la unificación de los formatos de cotización y la clarificación de los roles y responsabilidades de cada actor. El resultado esperado es una disminución verificable de los tiempos de respuesta en la adquisición de insumos y una mayor capacidad de la organización para atender sus necesidades de abastecimiento de forma oportuna y transparente.</w:t>
      </w:r>
    </w:p>
    <w:p>
      <w:pPr>
        <w:spacing w:line="360" w:lineRule="auto" w:after="0" w:before="0"/>
        <w:ind w:firstLine="709"/>
        <w:jc w:val="both"/>
      </w:pPr>
      <w:r>
        <w:rPr>
          <w:rFonts w:ascii="Times New Roman" w:hAnsi="Times New Roman"/>
          <w:i w:val="0"/>
          <w:sz w:val="24"/>
        </w:rPr>
        <w:t>Esta definición describe con precisión la situación identificada en Lubricantes y Equipos Varyna, C.A.: un proceso que ha crecido en pasos y actores sin que ninguno de esos añadidos haya sido diseñado intencionalmente, sino como respuesta improvisada a contingencias operativas. Quien elabora este trabajo considera que la simplificación no implica eliminar controles, sino eliminar redundancias; no significa reducir responsabilidades, sino clarificarlas. El nuevo flujo propuesto en el Capítulo V parte de este principio, identificando los pasos estrictamente necesarios para que una requisición se convierta en una orden de compra cerrada sin demoras innecesarias. Para que esta propuesta sea metodológicamente válida dentro del ámbito académico, debe enmarcarse además en la modalidad de investigación correspondiente, la cual se explica en el apartado final de este capítulo.</w:t>
      </w:r>
    </w:p>
    <w:p>
      <w:pPr>
        <w:spacing w:before="480" w:after="480" w:line="360" w:lineRule="auto"/>
        <w:jc w:val="left"/>
      </w:pPr>
      <w:r>
        <w:rPr>
          <w:rFonts w:ascii="Times New Roman" w:hAnsi="Times New Roman"/>
          <w:b/>
          <w:sz w:val="24"/>
        </w:rPr>
        <w:t>Base Legal: Constitución de la República Bolivariana de Venezuela — Artículo 112</w:t>
      </w:r>
    </w:p>
    <w:p>
      <w:pPr>
        <w:spacing w:line="360" w:lineRule="auto" w:after="0" w:before="0"/>
        <w:ind w:firstLine="709"/>
        <w:jc w:val="both"/>
      </w:pPr>
      <w:r>
        <w:rPr>
          <w:rFonts w:ascii="Times New Roman" w:hAnsi="Times New Roman"/>
          <w:i w:val="0"/>
          <w:sz w:val="24"/>
        </w:rPr>
        <w:t>Como marco general de la actividad económica privada, la Constitución reconoce la iniciativa empresarial dentro de los límites establecidos por el ordenamiento jurídico.</w:t>
      </w:r>
    </w:p>
    <w:p>
      <w:pPr>
        <w:spacing w:line="240" w:lineRule="auto" w:before="720" w:after="240"/>
        <w:ind w:left="709" w:right="709"/>
        <w:jc w:val="both"/>
      </w:pPr>
      <w:r>
        <w:rPr>
          <w:rFonts w:ascii="Times New Roman" w:hAnsi="Times New Roman"/>
          <w:sz w:val="24"/>
        </w:rPr>
        <w:t>Todas las personas pueden dedicarse libremente a la actividad económica de su preferencia, sin más limitaciones que las previstas en esta Constitución y las que establezcan las leyes, por razones de desarrollo humano, seguridad, sanidad, protección del ambiente u otras de interés social. El Estado promoverá la iniciativa privada, garantizando la creación y justa distribución de la riqueza, así como la producción de bienes y servicios que satisfagan las necesidades de la población, la libertad de trabajo, empresa, comercio, industria, sin perjuicio de su facultad para dictar medidas para planificar, racionalizar y regular la economía e impulsar el desarrollo integral del país.</w:t>
      </w:r>
      <w:r>
        <w:rPr>
          <w:rFonts w:ascii="Times New Roman" w:hAnsi="Times New Roman"/>
          <w:sz w:val="24"/>
        </w:rPr>
        <w:t xml:space="preserve"> (Constitución de la República Bolivariana de Venezuela, 1999, art. 112)</w:t>
      </w:r>
    </w:p>
    <w:p>
      <w:pPr>
        <w:spacing w:line="360" w:lineRule="auto" w:after="0" w:before="0"/>
        <w:ind w:firstLine="709"/>
        <w:jc w:val="both"/>
      </w:pPr>
      <w:r>
        <w:rPr>
          <w:rFonts w:ascii="Times New Roman" w:hAnsi="Times New Roman"/>
          <w:i w:val="0"/>
          <w:sz w:val="24"/>
        </w:rPr>
        <w:t>El aporte de este artículo al informe es de carácter general: reconoce el ejercicio de la actividad empresarial y permite ubicar la propuesta dentro de la necesidad de organizar racionalmente los procesos internos de una empresa privada. No establece un procedimiento específico de procura, por lo que su función es servir como fundamento constitucional amplio y no como regla operativa de compras.</w:t>
      </w:r>
    </w:p>
    <w:p>
      <w:pPr>
        <w:spacing w:before="480" w:after="480" w:line="360" w:lineRule="auto"/>
        <w:jc w:val="left"/>
      </w:pPr>
      <w:r>
        <w:rPr>
          <w:rFonts w:ascii="Times New Roman" w:hAnsi="Times New Roman"/>
          <w:b/>
          <w:sz w:val="24"/>
        </w:rPr>
        <w:t>Base Legal: Código de Comercio — Artículo 32</w:t>
      </w:r>
    </w:p>
    <w:p>
      <w:pPr>
        <w:spacing w:line="360" w:lineRule="auto" w:after="0" w:before="0"/>
        <w:ind w:firstLine="709"/>
        <w:jc w:val="both"/>
      </w:pPr>
      <w:r>
        <w:rPr>
          <w:rFonts w:ascii="Times New Roman" w:hAnsi="Times New Roman"/>
          <w:i w:val="0"/>
          <w:sz w:val="24"/>
        </w:rPr>
        <w:t>El Código de Comercio establece obligaciones vinculadas con el orden y claridad de los registros de los comerciantes, aspecto que guarda relación con la necesidad de mantener información organizada y verificable en los procesos administrativos.</w:t>
      </w:r>
    </w:p>
    <w:p>
      <w:pPr>
        <w:spacing w:line="240" w:lineRule="auto" w:before="720" w:after="240"/>
        <w:ind w:left="709" w:right="709"/>
        <w:jc w:val="both"/>
      </w:pPr>
      <w:r>
        <w:rPr>
          <w:rFonts w:ascii="Times New Roman" w:hAnsi="Times New Roman"/>
          <w:sz w:val="24"/>
        </w:rPr>
        <w:t>Todo comerciante debe llevar en idioma castellano su contabilidad, la cual comprenderá, obligatoriamente, el libro Diario, el libro Mayor y el de Inventarios. Podrá llevar, además, todos los libros auxiliares que estimara conveniente para el mayor orden y claridad de sus operaciones.</w:t>
      </w:r>
      <w:r>
        <w:rPr>
          <w:rFonts w:ascii="Times New Roman" w:hAnsi="Times New Roman"/>
          <w:sz w:val="24"/>
        </w:rPr>
        <w:t xml:space="preserve"> (Código de Comercio, 1955, art. 32)</w:t>
      </w:r>
    </w:p>
    <w:p>
      <w:pPr>
        <w:spacing w:line="360" w:lineRule="auto" w:after="0" w:before="0"/>
        <w:ind w:firstLine="709"/>
        <w:jc w:val="both"/>
      </w:pPr>
      <w:r>
        <w:rPr>
          <w:rFonts w:ascii="Times New Roman" w:hAnsi="Times New Roman"/>
          <w:i w:val="0"/>
          <w:sz w:val="24"/>
        </w:rPr>
        <w:t>La relación con la propuesta se encuentra en el principio de orden y claridad de las operaciones mercantiles. Los formatos y mecanismos de seguimiento diseñados para la procura no sustituyen los libros contables exigidos por la ley, pero complementan el control administrativo al organizar la documentación que antecede y acompaña las compras de la empresa.</w:t>
      </w:r>
    </w:p>
    <w:p>
      <w:pPr>
        <w:sectPr>
          <w:footerReference w:type="default" r:id="rId36"/>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7"/>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práctica profesional se desarrollaron actividades operativas de apoyo a la procura y actividades de diagnóstico, análisis y formulación de la propuesta de simplificación administrativa: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Administrativo y familiarización con los procedimientos generales de la empresa y del área de procura.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requisiciones y registro de las primeras situaciones relacionadas con la recepción, seguimiento y control de las solicitudes de compra.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clasificación y registro de solicitudes de compra, además de la familiarización con los expedientes y mecanismos de seguimiento de cotizaciones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del flujo secuencial del proceso de procura mediante observación directa y conversaciones de reconocimiento con el personal encargado.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tramitación de requisiciones, comunicación con proveedores y actualización del registro de cotizaciones en proceso.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una guía de entrevista estructurada al personal relacionado con compras y administración para identificar demoras, duplicidades y dificultades de seguimiento.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de compra abiertas, verificación del estatus de cotizaciones pendientes y actualización del registro de proveedores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Revisión de expedientes históricos y análisis de tiempos de respuesta por fase con el propósito de determinar las etapas donde se concentran los mayores retrasos.</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Tramitación de solicitudes de compra, apoyo en cuadros comparativos de cotizaciones y actualización de información de proveedores.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Elaboración del diagrama de Ishikawa y jerarquización de las causas asociadas con retrasos, redundancias, falta de estandarización y dificultades de trazabilidad en la procura.</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cotizaciones pendientes de aprobación y actualización de los expedientes de compras activos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simplificado del proceso de procura, definiendo etapas, responsables, puntos de control y tiempos de referencia para el seguimiento administrativo.</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procesamiento de requisiciones y verificación de información necesaria para compras en trámite.</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solicitud de cotización y orden de compra, elaboración de la matriz de autorización por monto y definición de indicadores básicos para el seguimiento del proceso.</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Seguimiento de órdenes en proceso y actualización de registros de proveedores y expedientes de adquisiciones.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de la propuesta de simplificación administrativa integrando el flujo diseñado, los formatos, la matriz de autorización y los mecanismos de seguimiento.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el cierre administrativo del ciclo de compras y organización de las órdenes de compra gestionadas durante 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Presentación de la propuesta al tutor industrial, registro de observaciones e incorporación de ajustes al documento final.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ante la gerencia del área y gestión de los recaudos institucionales correspondientes al cierre de las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del informe de pasantías, revisión de la normativa de presentación e incorporación de los anexos y correcciones finales antes de la entrega institucional.</w:t>
      </w:r>
    </w:p>
    <w:p>
      <w:pPr>
        <w:sectPr>
          <w:footerReference w:type="default" r:id="rId38"/>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39"/>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Asamblea Nacional Constituyente. (1999). Constitución de la República Bolivariana de Venezuela. Gaceta Oficial de la República Bolivariana de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Congreso de la República de Venezuela. (1955). Código de Comercio. Gaceta Oficial Extraordinaria N.º 475.</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Mantilla, S. (2005). Control interno: Informe COSO (4ta ed.). Ecoe Ediciones, Colombia.</w:t>
      </w:r>
    </w:p>
    <w:p>
      <w:pPr>
        <w:spacing w:line="240" w:lineRule="auto" w:after="480" w:before="0"/>
        <w:ind w:left="425" w:hanging="425"/>
        <w:jc w:val="both"/>
      </w:pPr>
      <w:r>
        <w:rPr>
          <w:rFonts w:ascii="Times New Roman" w:hAnsi="Times New Roman"/>
          <w:sz w:val="24"/>
        </w:rPr>
        <w:t>Monterroso, E. (2002). El proceso de abastecimiento: El aprovisionamiento. Universidad Nacional de Luján, Argentina.</w:t>
      </w:r>
    </w:p>
    <w:p>
      <w:pPr>
        <w:sectPr>
          <w:footerReference w:type="default" r:id="rId40"/>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1"/>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[Diagrama de Ishikawa de las causas asociadas a las demoras del proceso de procura]</w:t>
      </w:r>
    </w:p>
    <w:p>
      <w:pPr>
        <w:spacing w:line="360" w:lineRule="auto" w:after="0" w:before="0"/>
        <w:ind w:firstLine="709"/>
        <w:jc w:val="both"/>
      </w:pPr>
      <w:r>
        <w:rPr>
          <w:rFonts w:ascii="Times New Roman" w:hAnsi="Times New Roman"/>
          <w:i w:val="0"/>
          <w:sz w:val="24"/>
        </w:rPr>
        <w:t>Problema analizado: demoras y pérdida de trazabilidad en el proceso de procura.</w:t>
      </w:r>
    </w:p>
    <w:p>
      <w:pPr>
        <w:spacing w:line="360" w:lineRule="auto" w:after="0" w:before="0"/>
        <w:ind w:firstLine="709"/>
        <w:jc w:val="both"/>
      </w:pPr>
      <w:r>
        <w:rPr>
          <w:rFonts w:ascii="Times New Roman" w:hAnsi="Times New Roman"/>
          <w:i w:val="0"/>
          <w:sz w:val="24"/>
        </w:rPr>
        <w:t>Procedimientos: ausencia de un canal único de recepción y recorrido no estandarizado de las requisiciones.</w:t>
      </w:r>
    </w:p>
    <w:p>
      <w:pPr>
        <w:spacing w:line="360" w:lineRule="auto" w:after="0" w:before="0"/>
        <w:ind w:firstLine="709"/>
        <w:jc w:val="both"/>
      </w:pPr>
      <w:r>
        <w:rPr>
          <w:rFonts w:ascii="Times New Roman" w:hAnsi="Times New Roman"/>
          <w:i w:val="0"/>
          <w:sz w:val="24"/>
        </w:rPr>
        <w:t>Documentación: formatos no uniformes para solicitudes, cotizaciones, órdenes y seguimiento.</w:t>
      </w:r>
    </w:p>
    <w:p>
      <w:pPr>
        <w:spacing w:line="360" w:lineRule="auto" w:after="0" w:before="0"/>
        <w:ind w:firstLine="709"/>
        <w:jc w:val="both"/>
      </w:pPr>
      <w:r>
        <w:rPr>
          <w:rFonts w:ascii="Times New Roman" w:hAnsi="Times New Roman"/>
          <w:i w:val="0"/>
          <w:sz w:val="24"/>
        </w:rPr>
        <w:t>Responsabilidades y autorización: criterios de aprobación y niveles de autorización susceptibles de formalización.</w:t>
      </w:r>
    </w:p>
    <w:p>
      <w:pPr>
        <w:spacing w:line="360" w:lineRule="auto" w:after="0" w:before="0"/>
        <w:ind w:firstLine="709"/>
        <w:jc w:val="both"/>
      </w:pPr>
      <w:r>
        <w:rPr>
          <w:rFonts w:ascii="Times New Roman" w:hAnsi="Times New Roman"/>
          <w:i w:val="0"/>
          <w:sz w:val="24"/>
        </w:rPr>
        <w:t>Seguimiento: control manual del estatus de cotizaciones y ausencia de indicadores básicos de gestión.</w:t>
      </w:r>
    </w:p>
    <w:sectPr w:rsidR="00FC693F" w:rsidRPr="0006063C" w:rsidSect="00034616">
      <w:footerReference w:type="default" r:id="rId42"/>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jp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footer" Target="footer1.xml"/><Relationship Id="rId14" Type="http://schemas.openxmlformats.org/officeDocument/2006/relationships/footer" Target="footer2.xml"/><Relationship Id="rId15" Type="http://schemas.openxmlformats.org/officeDocument/2006/relationships/footer" Target="footer3.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footer" Target="footer7.xml"/><Relationship Id="rId20" Type="http://schemas.openxmlformats.org/officeDocument/2006/relationships/footer" Target="footer8.xml"/><Relationship Id="rId21" Type="http://schemas.openxmlformats.org/officeDocument/2006/relationships/footer" Target="footer9.xml"/><Relationship Id="rId22" Type="http://schemas.openxmlformats.org/officeDocument/2006/relationships/footer" Target="footer10.xml"/><Relationship Id="rId23" Type="http://schemas.openxmlformats.org/officeDocument/2006/relationships/footer" Target="footer11.xml"/><Relationship Id="rId24" Type="http://schemas.openxmlformats.org/officeDocument/2006/relationships/footer" Target="footer12.xml"/><Relationship Id="rId25" Type="http://schemas.openxmlformats.org/officeDocument/2006/relationships/footer" Target="footer13.xml"/><Relationship Id="rId26" Type="http://schemas.openxmlformats.org/officeDocument/2006/relationships/footer" Target="footer14.xml"/><Relationship Id="rId27" Type="http://schemas.openxmlformats.org/officeDocument/2006/relationships/footer" Target="footer15.xml"/><Relationship Id="rId28" Type="http://schemas.openxmlformats.org/officeDocument/2006/relationships/footer" Target="footer16.xml"/><Relationship Id="rId29" Type="http://schemas.openxmlformats.org/officeDocument/2006/relationships/footer" Target="footer17.xml"/><Relationship Id="rId30" Type="http://schemas.openxmlformats.org/officeDocument/2006/relationships/footer" Target="footer18.xml"/><Relationship Id="rId31" Type="http://schemas.openxmlformats.org/officeDocument/2006/relationships/footer" Target="footer19.xml"/><Relationship Id="rId32" Type="http://schemas.openxmlformats.org/officeDocument/2006/relationships/footer" Target="footer20.xml"/><Relationship Id="rId33" Type="http://schemas.openxmlformats.org/officeDocument/2006/relationships/footer" Target="footer21.xml"/><Relationship Id="rId34" Type="http://schemas.openxmlformats.org/officeDocument/2006/relationships/footer" Target="footer22.xml"/><Relationship Id="rId35" Type="http://schemas.openxmlformats.org/officeDocument/2006/relationships/footer" Target="footer23.xml"/><Relationship Id="rId36" Type="http://schemas.openxmlformats.org/officeDocument/2006/relationships/footer" Target="footer24.xml"/><Relationship Id="rId37" Type="http://schemas.openxmlformats.org/officeDocument/2006/relationships/footer" Target="footer25.xml"/><Relationship Id="rId38" Type="http://schemas.openxmlformats.org/officeDocument/2006/relationships/footer" Target="footer26.xml"/><Relationship Id="rId39" Type="http://schemas.openxmlformats.org/officeDocument/2006/relationships/footer" Target="footer27.xml"/><Relationship Id="rId40" Type="http://schemas.openxmlformats.org/officeDocument/2006/relationships/footer" Target="footer28.xml"/><Relationship Id="rId41" Type="http://schemas.openxmlformats.org/officeDocument/2006/relationships/footer" Target="footer29.xml"/><Relationship Id="rId42" Type="http://schemas.openxmlformats.org/officeDocument/2006/relationships/footer" Target="footer30.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