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
    <w:p/>
    <w:p>
      <w:pPr>
        <w:jc w:val="center"/>
      </w:pPr>
      <w:r>
        <w:rPr>
          <w:rFonts w:ascii="Times New Roman" w:hAnsi="Times New Roman"/>
          <w:sz w:val="24"/>
        </w:rPr>
        <w:t>_______________________________________________________</w:t>
      </w:r>
    </w:p>
    <w:p/>
    <w:p>
      <w:pPr>
        <w:spacing w:line="360" w:lineRule="auto"/>
        <w:jc w:val="center"/>
      </w:pPr>
      <w:r>
        <w:rPr>
          <w:rFonts w:ascii="Times New Roman" w:hAnsi="Times New Roman"/>
          <w:b/>
          <w:sz w:val="24"/>
        </w:rPr>
        <w:t>Lenny Mata</w:t>
      </w:r>
    </w:p>
    <w:p>
      <w:pPr>
        <w:spacing w:before="0"/>
        <w:jc w:val="center"/>
      </w:pPr>
      <w:r>
        <w:rPr>
          <w:rFonts w:ascii="Times New Roman" w:hAnsi="Times New Roman"/>
          <w:sz w:val="24"/>
        </w:rPr>
        <w:t>C.I.: 8969750</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
    <w:p/>
    <w:p>
      <w:pPr>
        <w:jc w:val="center"/>
      </w:pPr>
      <w:r>
        <w:rPr>
          <w:rFonts w:ascii="Times New Roman" w:hAnsi="Times New Roman"/>
          <w:sz w:val="24"/>
        </w:rPr>
        <w:t>_______________________________________________________</w:t>
      </w:r>
    </w:p>
    <w:p/>
    <w:p>
      <w:pPr>
        <w:spacing w:line="360" w:lineRule="auto"/>
        <w:jc w:val="center"/>
      </w:pPr>
      <w:r>
        <w:rPr>
          <w:rFonts w:ascii="Times New Roman" w:hAnsi="Times New Roman"/>
          <w:b/>
          <w:sz w:val="24"/>
        </w:rPr>
        <w:t>Lic. Carlos Mendoza</w:t>
      </w:r>
    </w:p>
    <w:p>
      <w:pPr>
        <w:spacing w:before="0"/>
        <w:jc w:val="center"/>
      </w:pPr>
      <w:r>
        <w:rPr>
          <w:rFonts w:ascii="Times New Roman" w:hAnsi="Times New Roman"/>
          <w:sz w:val="24"/>
        </w:rPr>
        <w:t>C.I.: 4.273.815</w:t>
      </w:r>
    </w:p>
    <w:p>
      <w:pPr>
        <w:sectPr>
          <w:footerReference w:type="default" r:id="rId16"/>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7"/>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8"/>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1"/>
          <w:pgSz w:w="12240" w:h="15840"/>
          <w:pgMar w:top="1701" w:right="1701" w:bottom="1701" w:left="2268" w:header="720" w:footer="720" w:gutter="0"/>
          <w:cols w:space="720"/>
          <w:titlePg/>
          <w:docGrid w:linePitch="360"/>
        </w:sectPr>
      </w:pPr>
    </w:p>
    <w:p>
      <w:pPr>
        <w:sectPr>
          <w:footerReference w:type="default" r:id="rId22"/>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6"/>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8"/>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1"/>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47342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47342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3"/>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 los procedimientos internos.</w:t>
            </w:r>
          </w:p>
        </w:tc>
        <w:tc>
          <w:tcPr>
            <w:tcW w:w="1644" w:type="dxa"/>
            <w:shd w:val="clear" w:color="auto" w:fill="FFFFFF"/>
          </w:tcPr>
          <w:p>
            <w:pPr>
              <w:spacing w:before="60" w:after="60" w:line="240" w:lineRule="auto"/>
              <w:jc w:val="both"/>
            </w:pPr>
            <w:r>
              <w:rPr>
                <w:rFonts w:ascii="Times New Roman" w:hAnsi="Times New Roman"/>
                <w:b w:val="0"/>
                <w:color w:val="000000"/>
                <w:sz w:val="20"/>
              </w:rPr>
              <w:t>Guía de observación, documentos de la empresa, PC.</w:t>
            </w:r>
          </w:p>
        </w:tc>
        <w:tc>
          <w:tcPr>
            <w:tcW w:w="1644" w:type="dxa"/>
            <w:shd w:val="clear" w:color="auto" w:fill="FFFFFF"/>
          </w:tcPr>
          <w:p>
            <w:pPr>
              <w:spacing w:before="60" w:after="60" w:line="240" w:lineRule="auto"/>
              <w:jc w:val="both"/>
            </w:pPr>
            <w:r>
              <w:rPr>
                <w:rFonts w:ascii="Times New Roman" w:hAnsi="Times New Roman"/>
                <w:b w:val="0"/>
                <w:color w:val="000000"/>
                <w:sz w:val="20"/>
              </w:rPr>
              <w:t>Mapeo del flujo actual de solicitudes.</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644" w:type="dxa"/>
            <w:shd w:val="clear" w:color="auto" w:fill="D9E1F2"/>
          </w:tcPr>
          <w:p>
            <w:pPr>
              <w:spacing w:before="60" w:after="60" w:line="240" w:lineRule="auto"/>
              <w:jc w:val="both"/>
            </w:pPr>
            <w:r>
              <w:rPr>
                <w:rFonts w:ascii="Times New Roman" w:hAnsi="Times New Roman"/>
                <w:b w:val="0"/>
                <w:color w:val="000000"/>
                <w:sz w:val="20"/>
              </w:rPr>
              <w:t>Guía de entrevista, históricos de tickets, PC.</w:t>
            </w:r>
          </w:p>
        </w:tc>
        <w:tc>
          <w:tcPr>
            <w:tcW w:w="1644" w:type="dxa"/>
            <w:shd w:val="clear" w:color="auto" w:fill="D9E1F2"/>
          </w:tcPr>
          <w:p>
            <w:pPr>
              <w:spacing w:before="60" w:after="60" w:line="240" w:lineRule="auto"/>
              <w:jc w:val="both"/>
            </w:pPr>
            <w:r>
              <w:rPr>
                <w:rFonts w:ascii="Times New Roman" w:hAnsi="Times New Roman"/>
                <w:b w:val="0"/>
                <w:color w:val="000000"/>
                <w:sz w:val="20"/>
              </w:rPr>
              <w:t>Matriz de deficiencias identificadas.</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644" w:type="dxa"/>
            <w:shd w:val="clear" w:color="auto" w:fill="FFFFFF"/>
          </w:tcPr>
          <w:p>
            <w:pPr>
              <w:spacing w:before="60" w:after="60" w:line="240" w:lineRule="auto"/>
              <w:jc w:val="both"/>
            </w:pPr>
            <w:r>
              <w:rPr>
                <w:rFonts w:ascii="Times New Roman" w:hAnsi="Times New Roman"/>
                <w:b w:val="0"/>
                <w:color w:val="000000"/>
                <w:sz w:val="20"/>
              </w:rPr>
              <w:t>Base de datos de incidencias, hojas de cálculo.</w:t>
            </w:r>
          </w:p>
        </w:tc>
        <w:tc>
          <w:tcPr>
            <w:tcW w:w="1644" w:type="dxa"/>
            <w:shd w:val="clear" w:color="auto" w:fill="FFFFFF"/>
          </w:tcPr>
          <w:p>
            <w:pPr>
              <w:spacing w:before="60" w:after="60" w:line="240" w:lineRule="auto"/>
              <w:jc w:val="both"/>
            </w:pPr>
            <w:r>
              <w:rPr>
                <w:rFonts w:ascii="Times New Roman" w:hAnsi="Times New Roman"/>
                <w:b w:val="0"/>
                <w:color w:val="000000"/>
                <w:sz w:val="20"/>
              </w:rPr>
              <w:t>Informe analítico de impacto.</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1644"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644" w:type="dxa"/>
            <w:shd w:val="clear" w:color="auto" w:fill="D9E1F2"/>
          </w:tcPr>
          <w:p>
            <w:pPr>
              <w:spacing w:before="60" w:after="60" w:line="240" w:lineRule="auto"/>
              <w:jc w:val="both"/>
            </w:pPr>
            <w:r>
              <w:rPr>
                <w:rFonts w:ascii="Times New Roman" w:hAnsi="Times New Roman"/>
                <w:b w:val="0"/>
                <w:color w:val="000000"/>
                <w:sz w:val="20"/>
              </w:rPr>
              <w:t>Procesador de texto, normativas internas.</w:t>
            </w:r>
          </w:p>
        </w:tc>
        <w:tc>
          <w:tcPr>
            <w:tcW w:w="1644" w:type="dxa"/>
            <w:shd w:val="clear" w:color="auto" w:fill="D9E1F2"/>
          </w:tcPr>
          <w:p>
            <w:pPr>
              <w:spacing w:before="60" w:after="60" w:line="240" w:lineRule="auto"/>
              <w:jc w:val="both"/>
            </w:pPr>
            <w:r>
              <w:rPr>
                <w:rFonts w:ascii="Times New Roman" w:hAnsi="Times New Roman"/>
                <w:b w:val="0"/>
                <w:color w:val="000000"/>
                <w:sz w:val="20"/>
              </w:rPr>
              <w:t>Propuesta de mejora procedimental formulada.</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5"/>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7"/>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llevaron a cabo actividades de evaluación y análisis en el Departamento de Administración de Ingeniería de Telecomunicaciones, 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de Administración y familiarización con los sistemas de registro y los procedimientos generales de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recepción y procesamiento de solicitudes de servicio, identificación preliminar de los actores involucrados en el proceso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registro de solicitudes de afiliación de nuevos suscriptores, verificación de documentación requerida y actualización del sistema de control de casos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procedimental de solicitudes de instalación e incidencias mediante la revisión de registros históricos y la documentación interna disponible en el departamento.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de solicitudes de servicio activas, actualización del estatus de los casos en el sistema de registro del departamento y apoyo en la coordinación con el área técnica.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y aplicación de guía de observación directa sobre el proceso de gestión de solicitudes, registrando los tiempos de respuesta por etapa y los puntos de interrupción del flujo.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atención al suscriptor vía telefónica y presencial, registro de incidencias reportadas y coordinación con el NOC para el despacho de cuadrillas técnicas de campo.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no estructuradas al personal administrativo, comercial y técnico para identificar las deficiencias percibidas en el sistema de control de solicitudes de servicio.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actualización del registro de suscriptores activos, verificación del cierre de casos pendientes y apoyo en la elaboración de reportes de incidencias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Diagnóstico situacional de las deficiencias del control administrativo, elaboración de la matriz de fallas identificadas y análisis de los tiempos promedio de atención por tipo de solicitud.</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tramitación de contratos de nuevos suscriptores, verificación de la documentación requerida y actualización del registro de afiliaciones del período en el sistema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detectadas sobre la calidad del servicio percibida por los suscriptores, mediante correlación entre tiempos de atención y quejas registradas.</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archivo de expedientes administrativos del ciclo, apoyo en la conciliación de pagos de suscriptores y actualización de la base de datos de clientes.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estandarizado para la gestión de solicitudes, con definición de etapas, responsables, tiempos máximos de respuesta y puntos de control por fase.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generación de reportes de incidencias y solicitudes del período para la supervisión administrativa, y colaboración en la atención de requerimientos de suscriptores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registro de solicitudes de afiliación y de incidencias, y elaboración del procedimiento escrito para la gestión unificada de casos en el departamento.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ciclo de atención al suscriptor correspondiente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al control administrativo de solicitudes de servicio, incorporando las observaciones del tutor industrial y ajustando los procedimientos al contexto operativo de IDETEL.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supervisión del Departamento de Administración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 al IUTECP.</w:t>
      </w:r>
    </w:p>
    <w:p>
      <w:pPr>
        <w:sectPr>
          <w:footerReference w:type="default" r:id="rId3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9"/>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describió el proceso administrativo actual de gestión de solicitudes de IDETEL, identificando un flujo de cuatro etapas (recepción, asignación, ejecución y cierre) que opera sin procedimientos escritos formales, dependiendo de canales informales de comunicación entre las áreas comercial, administrativa y técnica.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del control administrativo la ausencia de un sistema unificado de seguimiento de casos, la falta de formatos estandarizados de registro, la inexistencia de tiempos de respuesta definidos por etapa y la carencia de indicadores de gestión que permitan evaluar el desempeño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debilidades detectadas en el control administrativo generan impactos directos sobre la calidad del servicio percibida por los suscriptores, manifestados en tiempos de atención prolongados, falta de trazabilidad en el estatus de los casos y dificultades en la coordinación interdepartamental que derivan en reprocesos y quejas reiteradas.</w:t>
      </w:r>
    </w:p>
    <w:p>
      <w:pPr>
        <w:spacing w:line="360" w:lineRule="auto"/>
        <w:ind w:firstLine="709"/>
        <w:jc w:val="both"/>
      </w:pPr>
      <w:r>
        <w:rPr>
          <w:rFonts w:ascii="Times New Roman" w:hAnsi="Times New Roman"/>
          <w:sz w:val="24"/>
        </w:rPr>
        <w:t xml:space="preserve">4. </w:t>
      </w:r>
      <w:r>
        <w:rPr>
          <w:rFonts w:ascii="Times New Roman" w:hAnsi="Times New Roman"/>
          <w:sz w:val="24"/>
        </w:rPr>
        <w:t>Se formuló una propuesta de mejora al control administrativo que contempla un nuevo flujo de trabajo estandarizado con etapas y responsables definidos, formatos unificados de registro de solicitudes e incidencias, y un conjunto de indicadores de gestión para el monitoreo continuo del proceso de atención al suscriptor.</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estandarizado propuesto, comenzando por la formalización del canal de recepción de solicitudes y la adopción de los formatos unificados de registro de afiliaciones e incidencias en todos los departamentos involucrados.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gestión de solicitudes con el personal de las áreas administrativa, comercial y técnica, garantizando que cada actor conozca su rol, sus responsabilidades y los tiempos máximos de respuesta establecidos para cada fase del proceso.</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atención al suscriptor, tales como el tiempo promedio de resolución de incidencias, el porcentaje de solicitudes cerradas dentro del plazo y el índice de reincidencias por caso, con seguimiento mensual por parte de la supervisión.</w:t>
      </w:r>
    </w:p>
    <w:p>
      <w:pPr>
        <w:spacing w:line="360" w:lineRule="auto"/>
        <w:ind w:firstLine="709"/>
        <w:jc w:val="both"/>
      </w:pPr>
      <w:r>
        <w:rPr>
          <w:rFonts w:ascii="Times New Roman" w:hAnsi="Times New Roman"/>
          <w:sz w:val="24"/>
        </w:rPr>
        <w:t xml:space="preserve">4. </w:t>
      </w:r>
      <w:r>
        <w:rPr>
          <w:rFonts w:ascii="Times New Roman" w:hAnsi="Times New Roman"/>
          <w:sz w:val="24"/>
        </w:rPr>
        <w:t>Evaluar la incorporación de una plataforma de gestión de tickets de código abierto que centralice el registro y seguimiento de solicitudes en tiempo real, eliminando la dependencia de canales informales de comunicación y dotando a la organización de trazabilidad completa sobre el ciclo de vida de cada caso.</w:t>
      </w:r>
    </w:p>
    <w:p>
      <w:pPr>
        <w:sectPr>
          <w:footerReference w:type="default" r:id="rId40"/>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1"/>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2"/>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43"/>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