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1BF" w:rsidRDefault="00FB1C21">
      <w:r>
        <w:t>HDFS Sink configuration:</w:t>
      </w:r>
    </w:p>
    <w:p w:rsidR="00FB1C21" w:rsidRDefault="00190ECD">
      <w:r>
        <w:rPr>
          <w:noProof/>
        </w:rPr>
        <w:drawing>
          <wp:inline distT="0" distB="0" distL="0" distR="0" wp14:anchorId="7294B09F" wp14:editId="68C30816">
            <wp:extent cx="5943600" cy="23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CD" w:rsidRDefault="00190ECD" w:rsidP="00190ECD">
      <w:pPr>
        <w:pStyle w:val="NoSpacing"/>
      </w:pPr>
      <w:r>
        <w:t xml:space="preserve">If you want sink as </w:t>
      </w:r>
      <w:r w:rsidRPr="00190ECD">
        <w:rPr>
          <w:b/>
        </w:rPr>
        <w:t>binary</w:t>
      </w:r>
      <w:r>
        <w:t xml:space="preserve"> file -</w:t>
      </w:r>
      <w:r>
        <w:sym w:font="Wingdings" w:char="F0E0"/>
      </w:r>
      <w:r>
        <w:t xml:space="preserve"> hdfs.fileType is </w:t>
      </w:r>
      <w:r w:rsidRPr="00190ECD">
        <w:rPr>
          <w:b/>
        </w:rPr>
        <w:t>sequenceFile</w:t>
      </w:r>
    </w:p>
    <w:p w:rsidR="00190ECD" w:rsidRDefault="00190ECD" w:rsidP="00190ECD">
      <w:pPr>
        <w:pStyle w:val="NoSpacing"/>
      </w:pPr>
      <w:r>
        <w:t xml:space="preserve">If you want sink to be written as </w:t>
      </w:r>
      <w:r w:rsidRPr="00190ECD">
        <w:rPr>
          <w:b/>
        </w:rPr>
        <w:t>text</w:t>
      </w:r>
      <w:r>
        <w:t xml:space="preserve"> file -</w:t>
      </w:r>
      <w:r>
        <w:sym w:font="Wingdings" w:char="F0E0"/>
      </w:r>
      <w:r>
        <w:t xml:space="preserve"> hdfs.fileType is </w:t>
      </w:r>
      <w:r w:rsidRPr="00190ECD">
        <w:rPr>
          <w:b/>
        </w:rPr>
        <w:t>dataStream</w:t>
      </w:r>
    </w:p>
    <w:p w:rsidR="00190ECD" w:rsidRDefault="00190ECD" w:rsidP="00190ECD">
      <w:pPr>
        <w:pStyle w:val="NoSpacing"/>
      </w:pPr>
      <w:r>
        <w:t xml:space="preserve">If you want sink as </w:t>
      </w:r>
      <w:r w:rsidRPr="00190ECD">
        <w:rPr>
          <w:b/>
        </w:rPr>
        <w:t>compressed</w:t>
      </w:r>
      <w:r>
        <w:t xml:space="preserve"> file -</w:t>
      </w:r>
      <w:r>
        <w:sym w:font="Wingdings" w:char="F0E0"/>
      </w:r>
      <w:r>
        <w:t xml:space="preserve"> hdfs.fileType is </w:t>
      </w:r>
      <w:r w:rsidRPr="00190ECD">
        <w:rPr>
          <w:b/>
        </w:rPr>
        <w:t>compressedStream</w:t>
      </w:r>
    </w:p>
    <w:p w:rsidR="00A43341" w:rsidRPr="00A43341" w:rsidRDefault="00A43341" w:rsidP="00A43341">
      <w:pPr>
        <w:shd w:val="clear" w:color="auto" w:fill="F1F1F1"/>
        <w:spacing w:before="100" w:beforeAutospacing="1" w:after="100" w:afterAutospacing="1" w:line="300" w:lineRule="atLeast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 w:rsidRPr="00A43341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hdfs.fileType</w:t>
      </w:r>
      <w:proofErr w:type="spellEnd"/>
      <w:r w:rsidRPr="00A43341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 xml:space="preserve"> = </w:t>
      </w:r>
      <w:r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</w:rPr>
        <w:t>DataStream</w:t>
      </w:r>
      <w:r w:rsidRPr="00A43341">
        <w:rPr>
          <w:rFonts w:ascii="Arial" w:eastAsia="Times New Roman" w:hAnsi="Arial" w:cs="Arial"/>
          <w:color w:val="5A5A5A"/>
          <w:sz w:val="21"/>
          <w:szCs w:val="21"/>
          <w:shd w:val="clear" w:color="auto" w:fill="FFFFFF"/>
        </w:rPr>
        <w:t xml:space="preserve"> denotes that in HDFS sink, output files should be created with </w:t>
      </w:r>
      <w:r>
        <w:rPr>
          <w:rFonts w:ascii="Arial" w:eastAsia="Times New Roman" w:hAnsi="Arial" w:cs="Arial"/>
          <w:color w:val="5A5A5A"/>
          <w:sz w:val="21"/>
          <w:szCs w:val="21"/>
          <w:shd w:val="clear" w:color="auto" w:fill="FFFFFF"/>
        </w:rPr>
        <w:t>text</w:t>
      </w:r>
      <w:r w:rsidRPr="00A43341">
        <w:rPr>
          <w:rFonts w:ascii="Arial" w:eastAsia="Times New Roman" w:hAnsi="Arial" w:cs="Arial"/>
          <w:color w:val="5A5A5A"/>
          <w:sz w:val="21"/>
          <w:szCs w:val="21"/>
          <w:shd w:val="clear" w:color="auto" w:fill="FFFFFF"/>
        </w:rPr>
        <w:t xml:space="preserve"> File format. </w:t>
      </w:r>
      <w:r w:rsidR="00733B6D">
        <w:rPr>
          <w:rFonts w:ascii="Arial" w:eastAsia="Times New Roman" w:hAnsi="Arial" w:cs="Arial"/>
          <w:color w:val="5A5A5A"/>
          <w:sz w:val="21"/>
          <w:szCs w:val="21"/>
          <w:shd w:val="clear" w:color="auto" w:fill="FFFFFF"/>
        </w:rPr>
        <w:t xml:space="preserve">(DataStream means “copy data to the destination exactly same </w:t>
      </w:r>
      <w:bookmarkStart w:id="0" w:name="_GoBack"/>
      <w:bookmarkEnd w:id="0"/>
      <w:r w:rsidR="00733B6D">
        <w:rPr>
          <w:rFonts w:ascii="Arial" w:eastAsia="Times New Roman" w:hAnsi="Arial" w:cs="Arial"/>
          <w:color w:val="5A5A5A"/>
          <w:sz w:val="21"/>
          <w:szCs w:val="21"/>
          <w:shd w:val="clear" w:color="auto" w:fill="FFFFFF"/>
        </w:rPr>
        <w:t>as in source)</w:t>
      </w:r>
    </w:p>
    <w:p w:rsidR="00510523" w:rsidRPr="00510523" w:rsidRDefault="00510523" w:rsidP="00510523">
      <w:pPr>
        <w:shd w:val="clear" w:color="auto" w:fill="F1F1F1"/>
        <w:spacing w:before="100" w:beforeAutospacing="1" w:after="100" w:afterAutospacing="1" w:line="300" w:lineRule="atLeast"/>
        <w:rPr>
          <w:rFonts w:ascii="Arial" w:eastAsia="Times New Roman" w:hAnsi="Arial" w:cs="Arial"/>
          <w:color w:val="5A5A5A"/>
          <w:sz w:val="21"/>
          <w:szCs w:val="21"/>
        </w:rPr>
      </w:pPr>
      <w:r w:rsidRPr="00510523">
        <w:rPr>
          <w:rFonts w:ascii="Arial" w:eastAsia="Times New Roman" w:hAnsi="Arial" w:cs="Arial"/>
          <w:color w:val="5A5A5A"/>
          <w:sz w:val="21"/>
          <w:szCs w:val="21"/>
        </w:rPr>
        <w:t>Also we have specified </w:t>
      </w:r>
      <w:proofErr w:type="spellStart"/>
      <w:r w:rsidRPr="00510523">
        <w:rPr>
          <w:rFonts w:ascii="Arial" w:eastAsia="Times New Roman" w:hAnsi="Arial" w:cs="Arial"/>
          <w:color w:val="0000FF"/>
          <w:sz w:val="21"/>
          <w:szCs w:val="21"/>
        </w:rPr>
        <w:t>avro_event</w:t>
      </w:r>
      <w:proofErr w:type="spellEnd"/>
      <w:proofErr w:type="gramStart"/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  </w:t>
      </w:r>
      <w:proofErr w:type="spellStart"/>
      <w:r w:rsidRPr="00510523">
        <w:rPr>
          <w:rFonts w:ascii="Arial" w:eastAsia="Times New Roman" w:hAnsi="Arial" w:cs="Arial"/>
          <w:color w:val="5A5A5A"/>
          <w:sz w:val="21"/>
          <w:szCs w:val="21"/>
        </w:rPr>
        <w:t>serializer</w:t>
      </w:r>
      <w:proofErr w:type="spellEnd"/>
      <w:proofErr w:type="gramEnd"/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 with </w:t>
      </w:r>
      <w:r w:rsidRPr="00510523">
        <w:rPr>
          <w:rFonts w:ascii="Arial" w:eastAsia="Times New Roman" w:hAnsi="Arial" w:cs="Arial"/>
          <w:color w:val="0000FF"/>
          <w:sz w:val="21"/>
          <w:szCs w:val="21"/>
        </w:rPr>
        <w:t>snappy</w:t>
      </w:r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 compression codec to store the output files with </w:t>
      </w:r>
      <w:proofErr w:type="spellStart"/>
      <w:r w:rsidRPr="00510523">
        <w:rPr>
          <w:rFonts w:ascii="Arial" w:eastAsia="Times New Roman" w:hAnsi="Arial" w:cs="Arial"/>
          <w:color w:val="5A5A5A"/>
          <w:sz w:val="21"/>
          <w:szCs w:val="21"/>
        </w:rPr>
        <w:t>avro</w:t>
      </w:r>
      <w:proofErr w:type="spellEnd"/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 serialized format and compressing the sequence files with snappy Compression Codec.</w:t>
      </w:r>
    </w:p>
    <w:p w:rsidR="00190ECD" w:rsidRDefault="00190ECD"/>
    <w:p w:rsidR="00190ECD" w:rsidRDefault="00190ECD">
      <w:r>
        <w:t>Example:</w:t>
      </w:r>
    </w:p>
    <w:p w:rsidR="00190ECD" w:rsidRDefault="00190ECD">
      <w:r>
        <w:rPr>
          <w:noProof/>
        </w:rPr>
        <w:drawing>
          <wp:inline distT="0" distB="0" distL="0" distR="0" wp14:anchorId="6020F773" wp14:editId="23A80D07">
            <wp:extent cx="5943600" cy="2715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EE" w:rsidRDefault="009157EE">
      <w:r>
        <w:t>There are three threshold limit of the .tmp file, reaching to that point</w:t>
      </w:r>
      <w:r w:rsidR="00661856">
        <w:t xml:space="preserve"> (any of the three)</w:t>
      </w:r>
      <w:r>
        <w:t xml:space="preserve"> it stops writing </w:t>
      </w:r>
      <w:r w:rsidR="00E8772F">
        <w:t xml:space="preserve">in .tmp </w:t>
      </w:r>
      <w:r w:rsidR="008B6FF8">
        <w:t>file (</w:t>
      </w:r>
      <w:r>
        <w:t xml:space="preserve">at this point .tmp converted in to </w:t>
      </w:r>
      <w:r w:rsidR="008B6FF8">
        <w:t>permanent</w:t>
      </w:r>
      <w:r>
        <w:t xml:space="preserve"> output file with filePrefix and fileSuffix in their name) and starts to write in new .tmp file.</w:t>
      </w:r>
    </w:p>
    <w:p w:rsidR="009157EE" w:rsidRDefault="009157EE" w:rsidP="009157EE">
      <w:pPr>
        <w:pStyle w:val="ListParagraph"/>
        <w:numPr>
          <w:ilvl w:val="0"/>
          <w:numId w:val="1"/>
        </w:numPr>
      </w:pPr>
      <w:r>
        <w:t xml:space="preserve">rollInterval (in seconds) </w:t>
      </w:r>
    </w:p>
    <w:p w:rsidR="009157EE" w:rsidRDefault="009157EE" w:rsidP="009157EE">
      <w:pPr>
        <w:pStyle w:val="ListParagraph"/>
        <w:numPr>
          <w:ilvl w:val="0"/>
          <w:numId w:val="1"/>
        </w:numPr>
      </w:pPr>
      <w:r>
        <w:t xml:space="preserve">rollsize (in </w:t>
      </w:r>
      <w:r w:rsidR="00A45FD9">
        <w:t>bytes</w:t>
      </w:r>
      <w:r>
        <w:t>)</w:t>
      </w:r>
    </w:p>
    <w:p w:rsidR="009157EE" w:rsidRDefault="009157EE" w:rsidP="009157EE">
      <w:pPr>
        <w:pStyle w:val="ListParagraph"/>
        <w:numPr>
          <w:ilvl w:val="0"/>
          <w:numId w:val="1"/>
        </w:numPr>
      </w:pPr>
      <w:r>
        <w:t>rollCount (number of lines)</w:t>
      </w:r>
    </w:p>
    <w:p w:rsidR="00190ECD" w:rsidRDefault="008B6FF8">
      <w:r>
        <w:t>Run the flume agent and c</w:t>
      </w:r>
      <w:r w:rsidR="00190ECD">
        <w:t>heck the output files:</w:t>
      </w:r>
    </w:p>
    <w:p w:rsidR="00FA7654" w:rsidRDefault="00FA7654">
      <w:r>
        <w:rPr>
          <w:noProof/>
        </w:rPr>
        <w:drawing>
          <wp:inline distT="0" distB="0" distL="0" distR="0" wp14:anchorId="5D075085" wp14:editId="2D6EA3B8">
            <wp:extent cx="5943600" cy="151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CD" w:rsidRDefault="00A45FD9">
      <w:r>
        <w:rPr>
          <w:noProof/>
        </w:rPr>
        <w:lastRenderedPageBreak/>
        <w:drawing>
          <wp:inline distT="0" distB="0" distL="0" distR="0" wp14:anchorId="24786CCA" wp14:editId="44032B8C">
            <wp:extent cx="5943600" cy="972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08" w:rsidRDefault="00A94C08" w:rsidP="00A94C08">
      <w:pPr>
        <w:rPr>
          <w:b/>
          <w:u w:val="single"/>
        </w:rPr>
      </w:pPr>
      <w:r w:rsidRPr="00A94C08">
        <w:rPr>
          <w:b/>
          <w:u w:val="single"/>
        </w:rPr>
        <w:t>Memory channel configuration:</w:t>
      </w:r>
    </w:p>
    <w:p w:rsidR="00A94C08" w:rsidRDefault="00A94C08" w:rsidP="00A94C08">
      <w:r w:rsidRPr="00A94C08">
        <w:t>Because memory is transient, if we use memory-channel</w:t>
      </w:r>
      <w:r>
        <w:t xml:space="preserve">, if the agent fails, there is a chance that it will </w:t>
      </w:r>
      <w:r w:rsidR="00453F98">
        <w:t>lose</w:t>
      </w:r>
      <w:r>
        <w:t xml:space="preserve"> the data. You have to understand this limitation. To limit the agent failures </w:t>
      </w:r>
      <w:r w:rsidR="00453F98">
        <w:t>especially</w:t>
      </w:r>
      <w:r>
        <w:t xml:space="preserve"> due to the channel, you have to understand these two properties:</w:t>
      </w:r>
    </w:p>
    <w:p w:rsidR="00A94C08" w:rsidRDefault="00453F98" w:rsidP="00A94C08">
      <w:pPr>
        <w:pStyle w:val="ListParagraph"/>
        <w:numPr>
          <w:ilvl w:val="0"/>
          <w:numId w:val="2"/>
        </w:numPr>
      </w:pPr>
      <w:r>
        <w:t>Capacity – maximum number of messages stored in channel. If all channel capacity are not consumed by sink. Flume will through error.</w:t>
      </w:r>
    </w:p>
    <w:p w:rsidR="00A94C08" w:rsidRDefault="00A94C08" w:rsidP="00A94C08">
      <w:pPr>
        <w:pStyle w:val="ListParagraph"/>
        <w:numPr>
          <w:ilvl w:val="0"/>
          <w:numId w:val="2"/>
        </w:numPr>
      </w:pPr>
      <w:r>
        <w:t>transactionCapacity</w:t>
      </w:r>
    </w:p>
    <w:p w:rsidR="00453F98" w:rsidRDefault="00453F98" w:rsidP="00453F98">
      <w:pPr>
        <w:pStyle w:val="ListParagraph"/>
      </w:pPr>
      <w:r>
        <w:t>This is the maximum number of event which a channel can take from a source or give to a sink per transaction. In general capacity is higher than transactionCapacity.</w:t>
      </w:r>
    </w:p>
    <w:p w:rsidR="00453F98" w:rsidRDefault="00453F98" w:rsidP="00453F98">
      <w:pPr>
        <w:pStyle w:val="ListParagraph"/>
      </w:pPr>
      <w:r>
        <w:t xml:space="preserve">It means, by the time transaction capacity is reached max from the source, data should be processed by the channel (same is with sink unless the </w:t>
      </w:r>
      <w:proofErr w:type="spellStart"/>
      <w:proofErr w:type="gramStart"/>
      <w:r>
        <w:t>tC</w:t>
      </w:r>
      <w:proofErr w:type="spellEnd"/>
      <w:proofErr w:type="gramEnd"/>
      <w:r>
        <w:t xml:space="preserve"> of sink is being recycled by the time it reaches max (capacity))</w:t>
      </w:r>
    </w:p>
    <w:p w:rsidR="00453F98" w:rsidRDefault="00453F98" w:rsidP="00453F98">
      <w:pPr>
        <w:pStyle w:val="ListParagraph"/>
      </w:pPr>
    </w:p>
    <w:p w:rsidR="00A94C08" w:rsidRDefault="00A94C08" w:rsidP="00A94C08">
      <w:pPr>
        <w:ind w:left="360"/>
      </w:pPr>
      <w:r>
        <w:t>Typically the data which are read by source will be channel</w:t>
      </w:r>
      <w:r w:rsidR="00172FD7">
        <w:t>ed to sink as early as possible.</w:t>
      </w:r>
    </w:p>
    <w:p w:rsidR="00172FD7" w:rsidRPr="00A94C08" w:rsidRDefault="00172FD7" w:rsidP="00A94C08">
      <w:pPr>
        <w:ind w:left="360"/>
      </w:pPr>
    </w:p>
    <w:p w:rsidR="00A94C08" w:rsidRPr="00172FD7" w:rsidRDefault="00172FD7">
      <w:pPr>
        <w:rPr>
          <w:b/>
          <w:color w:val="FF0000"/>
          <w:u w:val="single"/>
        </w:rPr>
      </w:pPr>
      <w:r w:rsidRPr="00172FD7">
        <w:rPr>
          <w:b/>
          <w:color w:val="FF0000"/>
          <w:u w:val="single"/>
        </w:rPr>
        <w:t>Getting started with Kafka:</w:t>
      </w:r>
    </w:p>
    <w:p w:rsidR="00172FD7" w:rsidRDefault="00172FD7">
      <w:r>
        <w:rPr>
          <w:noProof/>
        </w:rPr>
        <w:drawing>
          <wp:inline distT="0" distB="0" distL="0" distR="0" wp14:anchorId="5E7D550A" wp14:editId="44D511C1">
            <wp:extent cx="3803650" cy="105047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306" cy="105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23" w:rsidRDefault="00510523"/>
    <w:p w:rsidR="00510523" w:rsidRPr="00510523" w:rsidRDefault="00510523" w:rsidP="00510523">
      <w:pPr>
        <w:pBdr>
          <w:bottom w:val="single" w:sz="12" w:space="8" w:color="DDDDDD"/>
        </w:pBdr>
        <w:shd w:val="clear" w:color="auto" w:fill="F1F1F1"/>
        <w:spacing w:before="150" w:after="150" w:line="270" w:lineRule="atLeast"/>
        <w:outlineLvl w:val="4"/>
        <w:rPr>
          <w:rFonts w:ascii="Arial" w:eastAsia="Times New Roman" w:hAnsi="Arial" w:cs="Arial"/>
          <w:b/>
          <w:bCs/>
          <w:color w:val="5A5A5A"/>
          <w:sz w:val="21"/>
          <w:szCs w:val="21"/>
        </w:rPr>
      </w:pPr>
      <w:r w:rsidRPr="00510523">
        <w:rPr>
          <w:rFonts w:ascii="Arial" w:eastAsia="Times New Roman" w:hAnsi="Arial" w:cs="Arial"/>
          <w:color w:val="008000"/>
          <w:sz w:val="36"/>
          <w:szCs w:val="36"/>
          <w:u w:val="single"/>
        </w:rPr>
        <w:t xml:space="preserve">Event </w:t>
      </w:r>
      <w:proofErr w:type="spellStart"/>
      <w:r w:rsidRPr="00510523">
        <w:rPr>
          <w:rFonts w:ascii="Arial" w:eastAsia="Times New Roman" w:hAnsi="Arial" w:cs="Arial"/>
          <w:color w:val="008000"/>
          <w:sz w:val="36"/>
          <w:szCs w:val="36"/>
          <w:u w:val="single"/>
        </w:rPr>
        <w:t>Serializers</w:t>
      </w:r>
      <w:proofErr w:type="spellEnd"/>
      <w:r w:rsidRPr="00510523">
        <w:rPr>
          <w:rFonts w:ascii="Arial" w:eastAsia="Times New Roman" w:hAnsi="Arial" w:cs="Arial"/>
          <w:color w:val="008000"/>
          <w:sz w:val="36"/>
          <w:szCs w:val="36"/>
          <w:u w:val="single"/>
        </w:rPr>
        <w:t>:</w:t>
      </w:r>
      <w:r w:rsidRPr="00510523">
        <w:rPr>
          <w:rFonts w:ascii="Arial" w:eastAsia="Times New Roman" w:hAnsi="Arial" w:cs="Arial"/>
          <w:b/>
          <w:bCs/>
          <w:color w:val="008000"/>
          <w:sz w:val="36"/>
          <w:szCs w:val="36"/>
        </w:rPr>
        <w:t> </w:t>
      </w:r>
    </w:p>
    <w:p w:rsidR="00510523" w:rsidRPr="00510523" w:rsidRDefault="00510523" w:rsidP="00510523">
      <w:pPr>
        <w:shd w:val="clear" w:color="auto" w:fill="F1F1F1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 w:rsidRPr="00510523">
        <w:rPr>
          <w:rFonts w:ascii="Arial" w:eastAsia="Times New Roman" w:hAnsi="Arial" w:cs="Arial"/>
          <w:color w:val="5A5A5A"/>
          <w:sz w:val="21"/>
          <w:szCs w:val="21"/>
        </w:rPr>
        <w:t>Flume supports serialization of events with </w:t>
      </w:r>
      <w:proofErr w:type="spellStart"/>
      <w:r w:rsidRPr="00510523">
        <w:rPr>
          <w:rFonts w:ascii="Arial" w:eastAsia="Times New Roman" w:hAnsi="Arial" w:cs="Arial"/>
          <w:color w:val="5A5A5A"/>
          <w:sz w:val="21"/>
          <w:szCs w:val="21"/>
        </w:rPr>
        <w:t>File_Roll</w:t>
      </w:r>
      <w:proofErr w:type="spellEnd"/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 Sink and HDFS Sink only. But we can write our custom event </w:t>
      </w:r>
      <w:proofErr w:type="spellStart"/>
      <w:r w:rsidRPr="00510523">
        <w:rPr>
          <w:rFonts w:ascii="Arial" w:eastAsia="Times New Roman" w:hAnsi="Arial" w:cs="Arial"/>
          <w:color w:val="5A5A5A"/>
          <w:sz w:val="21"/>
          <w:szCs w:val="21"/>
        </w:rPr>
        <w:t>serializers</w:t>
      </w:r>
      <w:proofErr w:type="spellEnd"/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 by implementing </w:t>
      </w:r>
      <w:proofErr w:type="spellStart"/>
      <w:r w:rsidRPr="00510523">
        <w:rPr>
          <w:rFonts w:ascii="Arial" w:eastAsia="Times New Roman" w:hAnsi="Arial" w:cs="Arial"/>
          <w:color w:val="5A5A5A"/>
          <w:sz w:val="21"/>
          <w:szCs w:val="21"/>
        </w:rPr>
        <w:t>EventSerializer</w:t>
      </w:r>
      <w:proofErr w:type="spellEnd"/>
      <w:r w:rsidRPr="00510523">
        <w:rPr>
          <w:rFonts w:ascii="Arial" w:eastAsia="Times New Roman" w:hAnsi="Arial" w:cs="Arial"/>
          <w:color w:val="5A5A5A"/>
          <w:sz w:val="21"/>
          <w:szCs w:val="21"/>
        </w:rPr>
        <w:t> interface.</w:t>
      </w:r>
    </w:p>
    <w:p w:rsidR="00510523" w:rsidRPr="00510523" w:rsidRDefault="00510523" w:rsidP="00510523">
      <w:pPr>
        <w:shd w:val="clear" w:color="auto" w:fill="F1F1F1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As of now, flume provides two </w:t>
      </w:r>
      <w:proofErr w:type="spellStart"/>
      <w:r w:rsidRPr="00510523">
        <w:rPr>
          <w:rFonts w:ascii="Arial" w:eastAsia="Times New Roman" w:hAnsi="Arial" w:cs="Arial"/>
          <w:color w:val="5A5A5A"/>
          <w:sz w:val="21"/>
          <w:szCs w:val="21"/>
        </w:rPr>
        <w:t>serializers</w:t>
      </w:r>
      <w:proofErr w:type="spellEnd"/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 shown below.</w:t>
      </w:r>
    </w:p>
    <w:p w:rsidR="00510523" w:rsidRPr="00510523" w:rsidRDefault="00510523" w:rsidP="00510523">
      <w:pPr>
        <w:pBdr>
          <w:top w:val="single" w:sz="12" w:space="8" w:color="DDDDDD"/>
          <w:bottom w:val="single" w:sz="12" w:space="8" w:color="DDDDDD"/>
        </w:pBdr>
        <w:shd w:val="clear" w:color="auto" w:fill="F1F1F1"/>
        <w:spacing w:before="150" w:after="150" w:line="225" w:lineRule="atLeast"/>
        <w:outlineLvl w:val="5"/>
        <w:rPr>
          <w:rFonts w:ascii="Arial" w:eastAsia="Times New Roman" w:hAnsi="Arial" w:cs="Arial"/>
          <w:b/>
          <w:bCs/>
          <w:color w:val="5A5A5A"/>
          <w:sz w:val="18"/>
          <w:szCs w:val="18"/>
        </w:rPr>
      </w:pPr>
      <w:r w:rsidRPr="00510523">
        <w:rPr>
          <w:rFonts w:ascii="Arial" w:eastAsia="Times New Roman" w:hAnsi="Arial" w:cs="Arial"/>
          <w:b/>
          <w:bCs/>
          <w:color w:val="5A5A5A"/>
          <w:sz w:val="27"/>
          <w:szCs w:val="27"/>
          <w:u w:val="single"/>
          <w:shd w:val="clear" w:color="auto" w:fill="CCFFFF"/>
        </w:rPr>
        <w:t xml:space="preserve">Body Text </w:t>
      </w:r>
      <w:proofErr w:type="spellStart"/>
      <w:r w:rsidRPr="00510523">
        <w:rPr>
          <w:rFonts w:ascii="Arial" w:eastAsia="Times New Roman" w:hAnsi="Arial" w:cs="Arial"/>
          <w:b/>
          <w:bCs/>
          <w:color w:val="5A5A5A"/>
          <w:sz w:val="27"/>
          <w:szCs w:val="27"/>
          <w:u w:val="single"/>
          <w:shd w:val="clear" w:color="auto" w:fill="CCFFFF"/>
        </w:rPr>
        <w:t>Serializer</w:t>
      </w:r>
      <w:proofErr w:type="spellEnd"/>
      <w:r w:rsidRPr="00510523">
        <w:rPr>
          <w:rFonts w:ascii="Arial" w:eastAsia="Times New Roman" w:hAnsi="Arial" w:cs="Arial"/>
          <w:b/>
          <w:bCs/>
          <w:color w:val="5A5A5A"/>
          <w:sz w:val="27"/>
          <w:szCs w:val="27"/>
          <w:u w:val="single"/>
          <w:shd w:val="clear" w:color="auto" w:fill="CCFFFF"/>
        </w:rPr>
        <w:t>:</w:t>
      </w:r>
    </w:p>
    <w:p w:rsidR="00510523" w:rsidRPr="00510523" w:rsidRDefault="00510523" w:rsidP="00510523">
      <w:pPr>
        <w:shd w:val="clear" w:color="auto" w:fill="F1F1F1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 w:rsidRPr="00510523">
        <w:rPr>
          <w:rFonts w:ascii="Arial" w:eastAsia="Times New Roman" w:hAnsi="Arial" w:cs="Arial"/>
          <w:color w:val="5A5A5A"/>
          <w:sz w:val="21"/>
          <w:szCs w:val="21"/>
        </w:rPr>
        <w:t>By default, events are Text </w:t>
      </w:r>
      <w:proofErr w:type="gramStart"/>
      <w:r w:rsidRPr="00510523">
        <w:rPr>
          <w:rFonts w:ascii="Arial" w:eastAsia="Times New Roman" w:hAnsi="Arial" w:cs="Arial"/>
          <w:color w:val="5A5A5A"/>
          <w:sz w:val="21"/>
          <w:szCs w:val="21"/>
        </w:rPr>
        <w:t>serialized :</w:t>
      </w:r>
      <w:proofErr w:type="gramEnd"/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 This </w:t>
      </w:r>
      <w:proofErr w:type="spellStart"/>
      <w:r w:rsidRPr="00510523">
        <w:rPr>
          <w:rFonts w:ascii="Arial" w:eastAsia="Times New Roman" w:hAnsi="Arial" w:cs="Arial"/>
          <w:color w:val="5A5A5A"/>
          <w:sz w:val="21"/>
          <w:szCs w:val="21"/>
        </w:rPr>
        <w:t>serializer</w:t>
      </w:r>
      <w:proofErr w:type="spellEnd"/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 writes the body of the event to an output stream without any transformation or modification. The event headers are ignored.</w:t>
      </w:r>
    </w:p>
    <w:tbl>
      <w:tblPr>
        <w:tblW w:w="13050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84"/>
        <w:gridCol w:w="10806"/>
      </w:tblGrid>
      <w:tr w:rsidR="00510523" w:rsidRPr="00510523" w:rsidTr="00510523">
        <w:trPr>
          <w:trHeight w:val="170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ED9F9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r w:rsidRPr="00510523">
              <w:rPr>
                <w:rFonts w:ascii="Liberation Serif" w:eastAsia="Times New Roman" w:hAnsi="Liberation Serif" w:cs="Arial"/>
                <w:b/>
                <w:bCs/>
                <w:color w:val="5A5A5A"/>
                <w:sz w:val="20"/>
                <w:szCs w:val="20"/>
              </w:rPr>
              <w:lastRenderedPageBreak/>
              <w:t>Property Name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ED9F9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r w:rsidRPr="00510523">
              <w:rPr>
                <w:rFonts w:ascii="Liberation Serif" w:eastAsia="Times New Roman" w:hAnsi="Liberation Serif" w:cs="Arial"/>
                <w:b/>
                <w:bCs/>
                <w:color w:val="5A5A5A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ED9F9F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r w:rsidRPr="00510523">
              <w:rPr>
                <w:rFonts w:ascii="Liberation Serif" w:eastAsia="Times New Roman" w:hAnsi="Liberation Serif" w:cs="Arial"/>
                <w:b/>
                <w:bCs/>
                <w:color w:val="5A5A5A"/>
                <w:sz w:val="20"/>
                <w:szCs w:val="20"/>
              </w:rPr>
              <w:t>Description</w:t>
            </w:r>
          </w:p>
        </w:tc>
      </w:tr>
      <w:tr w:rsidR="00510523" w:rsidRPr="00510523" w:rsidTr="00510523">
        <w:trPr>
          <w:trHeight w:val="470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B2EBE4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proofErr w:type="spellStart"/>
            <w:r w:rsidRPr="00510523">
              <w:rPr>
                <w:rFonts w:ascii="Liberation Serif" w:eastAsia="Times New Roman" w:hAnsi="Liberation Serif" w:cs="Arial"/>
                <w:color w:val="5A5A5A"/>
                <w:sz w:val="20"/>
                <w:szCs w:val="20"/>
              </w:rPr>
              <w:t>appendNewline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B2EBE4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r w:rsidRPr="00510523">
              <w:rPr>
                <w:rFonts w:ascii="Liberation Serif" w:eastAsia="Times New Roman" w:hAnsi="Liberation Serif" w:cs="Arial"/>
                <w:color w:val="5A5A5A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B2EBE4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r w:rsidRPr="00510523">
              <w:rPr>
                <w:rFonts w:ascii="Liberation Serif" w:eastAsia="Times New Roman" w:hAnsi="Liberation Serif" w:cs="Arial"/>
                <w:color w:val="5A5A5A"/>
                <w:sz w:val="20"/>
                <w:szCs w:val="20"/>
              </w:rPr>
              <w:t>Whether a newline will be appended to each event at write time. The default of true assumes that events do not contain newlines, for legacy reasons.</w:t>
            </w:r>
          </w:p>
        </w:tc>
      </w:tr>
    </w:tbl>
    <w:p w:rsidR="00510523" w:rsidRPr="00510523" w:rsidRDefault="00510523" w:rsidP="00510523">
      <w:pPr>
        <w:shd w:val="clear" w:color="auto" w:fill="F1F1F1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 w:rsidRPr="00510523">
        <w:rPr>
          <w:rFonts w:ascii="Arial" w:eastAsia="Times New Roman" w:hAnsi="Arial" w:cs="Arial"/>
          <w:color w:val="5A5A5A"/>
          <w:sz w:val="21"/>
          <w:szCs w:val="21"/>
          <w:u w:val="single"/>
        </w:rPr>
        <w:t>Example for agent named a1:</w:t>
      </w:r>
    </w:p>
    <w:p w:rsidR="00510523" w:rsidRPr="00510523" w:rsidRDefault="00510523" w:rsidP="00510523">
      <w:pPr>
        <w:shd w:val="clear" w:color="auto" w:fill="F1F1F1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 w:rsidRPr="00510523">
        <w:rPr>
          <w:rFonts w:ascii="Arial" w:eastAsia="Times New Roman" w:hAnsi="Arial" w:cs="Arial"/>
          <w:color w:val="5A5A5A"/>
          <w:sz w:val="21"/>
          <w:szCs w:val="21"/>
        </w:rPr>
        <w:t>a1.sinks.k1.type = </w:t>
      </w:r>
      <w:proofErr w:type="spellStart"/>
      <w:r w:rsidRPr="00510523">
        <w:rPr>
          <w:rFonts w:ascii="Arial" w:eastAsia="Times New Roman" w:hAnsi="Arial" w:cs="Arial"/>
          <w:color w:val="5A5A5A"/>
          <w:sz w:val="21"/>
          <w:szCs w:val="21"/>
          <w:shd w:val="clear" w:color="auto" w:fill="FFFF99"/>
        </w:rPr>
        <w:t>file_roll</w:t>
      </w:r>
      <w:proofErr w:type="spellEnd"/>
      <w:r w:rsidRPr="00510523">
        <w:rPr>
          <w:rFonts w:ascii="Arial" w:eastAsia="Times New Roman" w:hAnsi="Arial" w:cs="Arial"/>
          <w:color w:val="5A5A5A"/>
          <w:sz w:val="21"/>
          <w:szCs w:val="21"/>
        </w:rPr>
        <w:br/>
        <w:t>a1.sinks.k1.sink.directory = /</w:t>
      </w:r>
      <w:proofErr w:type="spellStart"/>
      <w:r w:rsidRPr="00510523">
        <w:rPr>
          <w:rFonts w:ascii="Arial" w:eastAsia="Times New Roman" w:hAnsi="Arial" w:cs="Arial"/>
          <w:color w:val="5A5A5A"/>
          <w:sz w:val="21"/>
          <w:szCs w:val="21"/>
        </w:rPr>
        <w:t>var</w:t>
      </w:r>
      <w:proofErr w:type="spellEnd"/>
      <w:r w:rsidRPr="00510523">
        <w:rPr>
          <w:rFonts w:ascii="Arial" w:eastAsia="Times New Roman" w:hAnsi="Arial" w:cs="Arial"/>
          <w:color w:val="5A5A5A"/>
          <w:sz w:val="21"/>
          <w:szCs w:val="21"/>
        </w:rPr>
        <w:t>/log/flume</w:t>
      </w:r>
      <w:r w:rsidRPr="00510523">
        <w:rPr>
          <w:rFonts w:ascii="Arial" w:eastAsia="Times New Roman" w:hAnsi="Arial" w:cs="Arial"/>
          <w:color w:val="5A5A5A"/>
          <w:sz w:val="21"/>
          <w:szCs w:val="21"/>
        </w:rPr>
        <w:br/>
        <w:t>a1.sinks.k1.sink.serializer = </w:t>
      </w:r>
      <w:r w:rsidRPr="00510523">
        <w:rPr>
          <w:rFonts w:ascii="Arial" w:eastAsia="Times New Roman" w:hAnsi="Arial" w:cs="Arial"/>
          <w:color w:val="5A5A5A"/>
          <w:sz w:val="21"/>
          <w:szCs w:val="21"/>
          <w:shd w:val="clear" w:color="auto" w:fill="FFFF99"/>
        </w:rPr>
        <w:t>text</w:t>
      </w:r>
      <w:r w:rsidRPr="00510523">
        <w:rPr>
          <w:rFonts w:ascii="Arial" w:eastAsia="Times New Roman" w:hAnsi="Arial" w:cs="Arial"/>
          <w:color w:val="5A5A5A"/>
          <w:sz w:val="21"/>
          <w:szCs w:val="21"/>
        </w:rPr>
        <w:br/>
        <w:t>a1.sinks.k1.sink.serializer.appendNewline = </w:t>
      </w:r>
      <w:r w:rsidRPr="00510523">
        <w:rPr>
          <w:rFonts w:ascii="Arial" w:eastAsia="Times New Roman" w:hAnsi="Arial" w:cs="Arial"/>
          <w:color w:val="5A5A5A"/>
          <w:sz w:val="21"/>
          <w:szCs w:val="21"/>
          <w:shd w:val="clear" w:color="auto" w:fill="FFFF99"/>
        </w:rPr>
        <w:t>false</w:t>
      </w:r>
    </w:p>
    <w:p w:rsidR="00510523" w:rsidRPr="00510523" w:rsidRDefault="00510523" w:rsidP="00510523">
      <w:pPr>
        <w:pBdr>
          <w:top w:val="single" w:sz="12" w:space="8" w:color="DDDDDD"/>
          <w:bottom w:val="single" w:sz="12" w:space="8" w:color="DDDDDD"/>
        </w:pBdr>
        <w:shd w:val="clear" w:color="auto" w:fill="F1F1F1"/>
        <w:spacing w:before="150" w:after="150" w:line="225" w:lineRule="atLeast"/>
        <w:outlineLvl w:val="5"/>
        <w:rPr>
          <w:rFonts w:ascii="Arial" w:eastAsia="Times New Roman" w:hAnsi="Arial" w:cs="Arial"/>
          <w:b/>
          <w:bCs/>
          <w:color w:val="5A5A5A"/>
          <w:sz w:val="18"/>
          <w:szCs w:val="18"/>
        </w:rPr>
      </w:pPr>
      <w:r w:rsidRPr="00510523">
        <w:rPr>
          <w:rFonts w:ascii="Arial" w:eastAsia="Times New Roman" w:hAnsi="Arial" w:cs="Arial"/>
          <w:b/>
          <w:bCs/>
          <w:color w:val="FF00FF"/>
          <w:sz w:val="27"/>
          <w:szCs w:val="27"/>
          <w:u w:val="single"/>
          <w:shd w:val="clear" w:color="auto" w:fill="FFFF99"/>
        </w:rPr>
        <w:t xml:space="preserve">Avro Event </w:t>
      </w:r>
      <w:proofErr w:type="spellStart"/>
      <w:r w:rsidRPr="00510523">
        <w:rPr>
          <w:rFonts w:ascii="Arial" w:eastAsia="Times New Roman" w:hAnsi="Arial" w:cs="Arial"/>
          <w:b/>
          <w:bCs/>
          <w:color w:val="FF00FF"/>
          <w:sz w:val="27"/>
          <w:szCs w:val="27"/>
          <w:u w:val="single"/>
          <w:shd w:val="clear" w:color="auto" w:fill="FFFF99"/>
        </w:rPr>
        <w:t>Serializer</w:t>
      </w:r>
      <w:proofErr w:type="spellEnd"/>
      <w:r w:rsidRPr="00510523">
        <w:rPr>
          <w:rFonts w:ascii="Arial" w:eastAsia="Times New Roman" w:hAnsi="Arial" w:cs="Arial"/>
          <w:b/>
          <w:bCs/>
          <w:color w:val="FF00FF"/>
          <w:sz w:val="27"/>
          <w:szCs w:val="27"/>
          <w:u w:val="single"/>
          <w:shd w:val="clear" w:color="auto" w:fill="FFFF99"/>
        </w:rPr>
        <w:t>:</w:t>
      </w:r>
    </w:p>
    <w:p w:rsidR="00510523" w:rsidRPr="00510523" w:rsidRDefault="00510523" w:rsidP="00510523">
      <w:pPr>
        <w:shd w:val="clear" w:color="auto" w:fill="F1F1F1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proofErr w:type="spellStart"/>
      <w:r w:rsidRPr="00510523">
        <w:rPr>
          <w:rFonts w:ascii="Arial" w:eastAsia="Times New Roman" w:hAnsi="Arial" w:cs="Arial"/>
          <w:color w:val="5A5A5A"/>
          <w:sz w:val="21"/>
          <w:szCs w:val="21"/>
        </w:rPr>
        <w:t>avro_event</w:t>
      </w:r>
      <w:proofErr w:type="spellEnd"/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: This </w:t>
      </w:r>
      <w:proofErr w:type="spellStart"/>
      <w:r w:rsidRPr="00510523">
        <w:rPr>
          <w:rFonts w:ascii="Arial" w:eastAsia="Times New Roman" w:hAnsi="Arial" w:cs="Arial"/>
          <w:color w:val="5A5A5A"/>
          <w:sz w:val="21"/>
          <w:szCs w:val="21"/>
        </w:rPr>
        <w:t>serializer</w:t>
      </w:r>
      <w:proofErr w:type="spellEnd"/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 serializes Flume events into an Avro container file. The schema used is the same schema used for Flume events in the Avro RPC mechanism. This </w:t>
      </w:r>
      <w:proofErr w:type="spellStart"/>
      <w:r w:rsidRPr="00510523">
        <w:rPr>
          <w:rFonts w:ascii="Arial" w:eastAsia="Times New Roman" w:hAnsi="Arial" w:cs="Arial"/>
          <w:color w:val="5A5A5A"/>
          <w:sz w:val="21"/>
          <w:szCs w:val="21"/>
        </w:rPr>
        <w:t>serializers</w:t>
      </w:r>
      <w:proofErr w:type="spellEnd"/>
      <w:r w:rsidRPr="00510523">
        <w:rPr>
          <w:rFonts w:ascii="Arial" w:eastAsia="Times New Roman" w:hAnsi="Arial" w:cs="Arial"/>
          <w:color w:val="5A5A5A"/>
          <w:sz w:val="21"/>
          <w:szCs w:val="21"/>
        </w:rPr>
        <w:t xml:space="preserve"> inherits from the </w:t>
      </w:r>
      <w:proofErr w:type="spellStart"/>
      <w:r w:rsidRPr="00510523">
        <w:rPr>
          <w:rFonts w:ascii="Courier New" w:eastAsia="Times New Roman" w:hAnsi="Courier New" w:cs="Courier New"/>
          <w:i/>
          <w:iCs/>
          <w:color w:val="5A5A5A"/>
          <w:sz w:val="20"/>
          <w:szCs w:val="20"/>
        </w:rPr>
        <w:t>AbstractAvroEventSerializer</w:t>
      </w:r>
      <w:proofErr w:type="spellEnd"/>
      <w:r w:rsidRPr="00510523">
        <w:rPr>
          <w:rFonts w:ascii="Arial" w:eastAsia="Times New Roman" w:hAnsi="Arial" w:cs="Arial"/>
          <w:color w:val="5A5A5A"/>
          <w:sz w:val="21"/>
          <w:szCs w:val="21"/>
        </w:rPr>
        <w:t> class.</w:t>
      </w:r>
    </w:p>
    <w:p w:rsidR="00510523" w:rsidRPr="00510523" w:rsidRDefault="00510523" w:rsidP="00510523">
      <w:pPr>
        <w:shd w:val="clear" w:color="auto" w:fill="F1F1F1"/>
        <w:spacing w:after="150" w:line="240" w:lineRule="auto"/>
        <w:rPr>
          <w:rFonts w:ascii="Arial" w:eastAsia="Times New Roman" w:hAnsi="Arial" w:cs="Arial"/>
          <w:color w:val="5A5A5A"/>
          <w:sz w:val="21"/>
          <w:szCs w:val="21"/>
        </w:rPr>
      </w:pPr>
      <w:r w:rsidRPr="00510523">
        <w:rPr>
          <w:rFonts w:ascii="Arial" w:eastAsia="Times New Roman" w:hAnsi="Arial" w:cs="Arial"/>
          <w:color w:val="5A5A5A"/>
          <w:sz w:val="21"/>
          <w:szCs w:val="21"/>
        </w:rPr>
        <w:t>Configuration options are as follows:</w:t>
      </w:r>
    </w:p>
    <w:tbl>
      <w:tblPr>
        <w:tblW w:w="13050" w:type="dxa"/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4"/>
        <w:gridCol w:w="1852"/>
        <w:gridCol w:w="7554"/>
      </w:tblGrid>
      <w:tr w:rsidR="00510523" w:rsidRPr="00510523" w:rsidTr="00510523">
        <w:trPr>
          <w:trHeight w:val="170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EDA8A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r w:rsidRPr="00510523">
              <w:rPr>
                <w:rFonts w:ascii="Liberation Serif" w:eastAsia="Times New Roman" w:hAnsi="Liberation Serif" w:cs="Arial"/>
                <w:b/>
                <w:bCs/>
                <w:color w:val="5A5A5A"/>
                <w:sz w:val="20"/>
                <w:szCs w:val="20"/>
              </w:rPr>
              <w:t>Property Name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EDA8A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r w:rsidRPr="00510523">
              <w:rPr>
                <w:rFonts w:ascii="Liberation Serif" w:eastAsia="Times New Roman" w:hAnsi="Liberation Serif" w:cs="Arial"/>
                <w:b/>
                <w:bCs/>
                <w:color w:val="5A5A5A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EDA8A8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jc w:val="center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r w:rsidRPr="00510523">
              <w:rPr>
                <w:rFonts w:ascii="Liberation Serif" w:eastAsia="Times New Roman" w:hAnsi="Liberation Serif" w:cs="Arial"/>
                <w:b/>
                <w:bCs/>
                <w:color w:val="5A5A5A"/>
                <w:sz w:val="20"/>
                <w:szCs w:val="20"/>
              </w:rPr>
              <w:t>Description</w:t>
            </w:r>
          </w:p>
        </w:tc>
      </w:tr>
      <w:tr w:rsidR="00510523" w:rsidRPr="00510523" w:rsidTr="00510523">
        <w:trPr>
          <w:trHeight w:val="170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9BEBE4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proofErr w:type="spellStart"/>
            <w:r w:rsidRPr="00510523">
              <w:rPr>
                <w:rFonts w:ascii="Liberation Serif" w:eastAsia="Times New Roman" w:hAnsi="Liberation Serif" w:cs="Arial"/>
                <w:color w:val="5A5A5A"/>
                <w:sz w:val="20"/>
                <w:szCs w:val="20"/>
              </w:rPr>
              <w:t>syncIntervalBytes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9BEBE4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r w:rsidRPr="00510523">
              <w:rPr>
                <w:rFonts w:ascii="Liberation Serif" w:eastAsia="Times New Roman" w:hAnsi="Liberation Serif" w:cs="Arial"/>
                <w:color w:val="5A5A5A"/>
                <w:sz w:val="20"/>
                <w:szCs w:val="20"/>
              </w:rPr>
              <w:t>2048000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9BEBE4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r w:rsidRPr="00510523">
              <w:rPr>
                <w:rFonts w:ascii="Liberation Serif" w:eastAsia="Times New Roman" w:hAnsi="Liberation Serif" w:cs="Arial"/>
                <w:color w:val="5A5A5A"/>
                <w:sz w:val="20"/>
                <w:szCs w:val="20"/>
              </w:rPr>
              <w:t>Avro sync interval, in approximate bytes.</w:t>
            </w:r>
          </w:p>
        </w:tc>
      </w:tr>
      <w:tr w:rsidR="00510523" w:rsidRPr="00510523" w:rsidTr="00510523">
        <w:trPr>
          <w:trHeight w:val="320"/>
        </w:trPr>
        <w:tc>
          <w:tcPr>
            <w:tcW w:w="0" w:type="auto"/>
            <w:tcBorders>
              <w:top w:val="single" w:sz="6" w:space="0" w:color="EDEDED"/>
            </w:tcBorders>
            <w:shd w:val="clear" w:color="auto" w:fill="9BEBE4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proofErr w:type="spellStart"/>
            <w:r w:rsidRPr="00510523">
              <w:rPr>
                <w:rFonts w:ascii="Liberation Serif" w:eastAsia="Times New Roman" w:hAnsi="Liberation Serif" w:cs="Arial"/>
                <w:color w:val="5A5A5A"/>
                <w:sz w:val="20"/>
                <w:szCs w:val="20"/>
              </w:rPr>
              <w:t>compressionCodec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9BEBE4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r w:rsidRPr="00510523">
              <w:rPr>
                <w:rFonts w:ascii="Liberation Serif" w:eastAsia="Times New Roman" w:hAnsi="Liberation Serif" w:cs="Arial"/>
                <w:color w:val="5A5A5A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shd w:val="clear" w:color="auto" w:fill="9BEBE4"/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:rsidR="00510523" w:rsidRPr="00510523" w:rsidRDefault="00510523" w:rsidP="00510523">
            <w:pPr>
              <w:spacing w:after="300" w:line="480" w:lineRule="auto"/>
              <w:rPr>
                <w:rFonts w:ascii="Arial" w:eastAsia="Times New Roman" w:hAnsi="Arial" w:cs="Arial"/>
                <w:color w:val="5A5A5A"/>
                <w:sz w:val="21"/>
                <w:szCs w:val="21"/>
              </w:rPr>
            </w:pPr>
            <w:r w:rsidRPr="00510523">
              <w:rPr>
                <w:rFonts w:ascii="Liberation Serif" w:eastAsia="Times New Roman" w:hAnsi="Liberation Serif" w:cs="Arial"/>
                <w:color w:val="5A5A5A"/>
                <w:sz w:val="20"/>
                <w:szCs w:val="20"/>
              </w:rPr>
              <w:t>Avro compression codec. </w:t>
            </w:r>
            <w:proofErr w:type="spellStart"/>
            <w:r w:rsidRPr="00510523">
              <w:rPr>
                <w:rFonts w:ascii="Liberation Serif" w:eastAsia="Times New Roman" w:hAnsi="Liberation Serif" w:cs="Arial"/>
                <w:color w:val="5A5A5A"/>
                <w:sz w:val="20"/>
                <w:szCs w:val="20"/>
              </w:rPr>
              <w:t>E.g</w:t>
            </w:r>
            <w:proofErr w:type="spellEnd"/>
            <w:r w:rsidRPr="00510523">
              <w:rPr>
                <w:rFonts w:ascii="Liberation Serif" w:eastAsia="Times New Roman" w:hAnsi="Liberation Serif" w:cs="Arial"/>
                <w:color w:val="5A5A5A"/>
                <w:sz w:val="20"/>
                <w:szCs w:val="20"/>
              </w:rPr>
              <w:t xml:space="preserve"> snappy</w:t>
            </w:r>
          </w:p>
        </w:tc>
      </w:tr>
    </w:tbl>
    <w:p w:rsidR="00510523" w:rsidRDefault="00510523"/>
    <w:p w:rsidR="00F501B7" w:rsidRPr="009744DF" w:rsidRDefault="00F501B7" w:rsidP="009744DF">
      <w:pPr>
        <w:pStyle w:val="NoSpacing"/>
        <w:rPr>
          <w:b/>
        </w:rPr>
      </w:pPr>
      <w:r w:rsidRPr="009744DF">
        <w:rPr>
          <w:b/>
        </w:rPr>
        <w:t>Ref:</w:t>
      </w:r>
    </w:p>
    <w:p w:rsidR="00F501B7" w:rsidRDefault="00733B6D" w:rsidP="009744DF">
      <w:pPr>
        <w:pStyle w:val="NoSpacing"/>
      </w:pPr>
      <w:hyperlink r:id="rId10" w:history="1">
        <w:r w:rsidR="009744DF" w:rsidRPr="00075F47">
          <w:rPr>
            <w:rStyle w:val="Hyperlink"/>
          </w:rPr>
          <w:t>http://hadooptutorial.info/flume-data-collection-into-hdfs-avro-serialization/</w:t>
        </w:r>
      </w:hyperlink>
    </w:p>
    <w:p w:rsidR="009744DF" w:rsidRDefault="009744DF"/>
    <w:sectPr w:rsidR="0097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206F"/>
    <w:multiLevelType w:val="hybridMultilevel"/>
    <w:tmpl w:val="EF448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718A6"/>
    <w:multiLevelType w:val="multilevel"/>
    <w:tmpl w:val="951A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14A68"/>
    <w:multiLevelType w:val="multilevel"/>
    <w:tmpl w:val="5474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B3BB0"/>
    <w:multiLevelType w:val="hybridMultilevel"/>
    <w:tmpl w:val="E9BA4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78"/>
    <w:rsid w:val="001633E8"/>
    <w:rsid w:val="00172FD7"/>
    <w:rsid w:val="00190ECD"/>
    <w:rsid w:val="00453F98"/>
    <w:rsid w:val="00510523"/>
    <w:rsid w:val="00661856"/>
    <w:rsid w:val="006941BF"/>
    <w:rsid w:val="00733B6D"/>
    <w:rsid w:val="008B6FF8"/>
    <w:rsid w:val="00905D9B"/>
    <w:rsid w:val="009157EE"/>
    <w:rsid w:val="009744DF"/>
    <w:rsid w:val="009B1578"/>
    <w:rsid w:val="00A43341"/>
    <w:rsid w:val="00A45FD9"/>
    <w:rsid w:val="00A94C08"/>
    <w:rsid w:val="00E8772F"/>
    <w:rsid w:val="00F501B7"/>
    <w:rsid w:val="00FA7654"/>
    <w:rsid w:val="00F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407D8-4E19-47B4-9EA1-08BB3DBF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105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1052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E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57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052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1052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52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1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510523"/>
  </w:style>
  <w:style w:type="character" w:styleId="Hyperlink">
    <w:name w:val="Hyperlink"/>
    <w:basedOn w:val="DefaultParagraphFont"/>
    <w:uiPriority w:val="99"/>
    <w:unhideWhenUsed/>
    <w:rsid w:val="00974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hadooptutorial.info/flume-data-collection-into-hdfs-avro-serializ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Julee Kumari</dc:creator>
  <cp:keywords/>
  <dc:description/>
  <cp:lastModifiedBy>Julee Kumari</cp:lastModifiedBy>
  <cp:revision>12</cp:revision>
  <dcterms:created xsi:type="dcterms:W3CDTF">2018-08-11T03:47:00Z</dcterms:created>
  <dcterms:modified xsi:type="dcterms:W3CDTF">2018-08-13T18:21:00Z</dcterms:modified>
</cp:coreProperties>
</file>