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4.png" ContentType="image/png"/>
  <Override PartName="/word/media/rId27.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Affordability of Houses in the Netherlands</w:t>
      </w:r>
    </w:p>
    <w:p>
      <w:pPr>
        <w:pStyle w:val="Subtitle"/>
      </w:pPr>
      <w:r>
        <w:t xml:space="preserve">Tutorial 6: Group 7</w:t>
      </w:r>
    </w:p>
    <w:p>
      <w:pPr>
        <w:pStyle w:val="Author"/>
      </w:pPr>
      <w:r>
        <w:t xml:space="preserve">Melvin Hofman</w:t>
      </w:r>
    </w:p>
    <w:p>
      <w:pPr>
        <w:pStyle w:val="Author"/>
      </w:pPr>
      <w:r>
        <w:t xml:space="preserve">Gijs Stevens</w:t>
      </w:r>
    </w:p>
    <w:p>
      <w:pPr>
        <w:pStyle w:val="Author"/>
      </w:pPr>
      <w:r>
        <w:t xml:space="preserve">Hidde Voors - 2729826</w:t>
      </w:r>
    </w:p>
    <w:p>
      <w:pPr>
        <w:pStyle w:val="Author"/>
      </w:pPr>
      <w:r>
        <w:t xml:space="preserve">Max Bergsma</w:t>
      </w:r>
    </w:p>
    <w:p>
      <w:pPr>
        <w:pStyle w:val="Author"/>
      </w:pPr>
      <w:r>
        <w:t xml:space="preserve">Imad el Hilali</w:t>
      </w:r>
    </w:p>
    <w:p>
      <w:pPr>
        <w:pStyle w:val="Author"/>
      </w:pPr>
      <w:r>
        <w:t xml:space="preserve">Jules Bierings</w:t>
      </w:r>
    </w:p>
    <w:p>
      <w:pPr>
        <w:pStyle w:val="Date"/>
      </w:pPr>
      <w:r>
        <w:t xml:space="preserve">2026-06-21</w:t>
      </w:r>
    </w:p>
    <w:p>
      <w:pPr>
        <w:pStyle w:val="FirstParagraph"/>
      </w:pPr>
      <w:r>
        <w:rPr>
          <w:b/>
          <w:bCs/>
        </w:rPr>
        <w:t xml:space="preserve">Tutorial Group 6</w:t>
      </w:r>
      <w:r>
        <w:t xml:space="preserve"> </w:t>
      </w:r>
      <w:r>
        <w:rPr>
          <w:b/>
          <w:bCs/>
        </w:rPr>
        <w:t xml:space="preserve">Assignment Group 7</w:t>
      </w:r>
      <w:r>
        <w:t xml:space="preserve"> </w:t>
      </w:r>
      <w:r>
        <w:rPr>
          <w:b/>
          <w:bCs/>
        </w:rPr>
        <w:t xml:space="preserve">Tutorial lecturer:</w:t>
      </w:r>
      <w:r>
        <w:t xml:space="preserve"> </w:t>
      </w:r>
      <w:r>
        <w:t xml:space="preserve">C. Schouwenaar</w:t>
      </w:r>
    </w:p>
    <w:p>
      <w:r>
        <w:br w:type="page"/>
      </w:r>
    </w:p>
    <w:bookmarkStart w:id="9" w:name="set-up-your-environment"/>
    <w:p>
      <w:pPr>
        <w:pStyle w:val="Heading1"/>
      </w:pPr>
      <w:r>
        <w:t xml:space="preserve">Set-up your environment</w:t>
      </w:r>
    </w:p>
    <w:bookmarkEnd w:id="9"/>
    <w:bookmarkStart w:id="10" w:name="title-page"/>
    <w:p>
      <w:pPr>
        <w:pStyle w:val="Heading1"/>
      </w:pPr>
      <w:r>
        <w:t xml:space="preserve">Title Page</w:t>
      </w:r>
    </w:p>
    <w:p>
      <w:pPr>
        <w:pStyle w:val="FirstParagraph"/>
      </w:pPr>
      <w:r>
        <w:t xml:space="preserve">Include the tutorial group number</w:t>
      </w:r>
    </w:p>
    <w:p>
      <w:pPr>
        <w:pStyle w:val="BodyText"/>
      </w:pPr>
      <w:r>
        <w:t xml:space="preserve">Include your tutorial lecturer’s name</w:t>
      </w:r>
    </w:p>
    <w:bookmarkEnd w:id="10"/>
    <w:bookmarkStart w:id="13" w:name="part-1---identify-a-social-problem"/>
    <w:p>
      <w:pPr>
        <w:pStyle w:val="Heading1"/>
      </w:pPr>
      <w:r>
        <w:t xml:space="preserve">Part 1 - Identify a Social Problem</w:t>
      </w:r>
    </w:p>
    <w:p>
      <w:pPr>
        <w:pStyle w:val="FirstParagraph"/>
      </w:pPr>
      <w:r>
        <w:t xml:space="preserve">Use APA referencing throughout your document.</w:t>
      </w:r>
      <w:r>
        <w:t xml:space="preserve"> </w:t>
      </w:r>
      <w:hyperlink r:id="rId11">
        <w:r>
          <w:rPr>
            <w:rStyle w:val="Hyperlink"/>
          </w:rPr>
          <w:t xml:space="preserve">Here’s a link to some explanation.</w:t>
        </w:r>
      </w:hyperlink>
    </w:p>
    <w:bookmarkStart w:id="12" w:name="describe-the-social-problem"/>
    <w:p>
      <w:pPr>
        <w:pStyle w:val="Heading2"/>
      </w:pPr>
      <w:r>
        <w:t xml:space="preserve">1.1 Describe the Social Problem</w:t>
      </w:r>
    </w:p>
    <w:p>
      <w:pPr>
        <w:pStyle w:val="FirstParagraph"/>
      </w:pPr>
      <w:r>
        <w:t xml:space="preserve">Housing affordability has become an increasingly important social issue in the Netherlands over the past decade. House prices have risen substantially in many parts of the country, while income growth have not kept pace. As a result, many households, particularly first-time buyers and younger generations, face greater difficulties entering the housing market, according to DNB (DNB, 2026). In addition, CBS states that housing costs in the Netherlands are higher than most EU countries (CBS, 2024).</w:t>
      </w:r>
    </w:p>
    <w:p>
      <w:pPr>
        <w:pStyle w:val="BodyText"/>
      </w:pPr>
      <w:r>
        <w:t xml:space="preserve">Understanding whether house prices have increased faster than incomes is therefore important for evaluating changes in housing affordability. If housing prices grow more rapidly than household incomes, purchasing a home becomes increasingly difficult for a large share of the population. This may have significant social and economic consequences, including increased inequality between homeowners and non-homeowners.</w:t>
      </w:r>
    </w:p>
    <w:p>
      <w:pPr>
        <w:pStyle w:val="BodyText"/>
      </w:pPr>
      <w:r>
        <w:t xml:space="preserve">The main research question of this study is:</w:t>
      </w:r>
    </w:p>
    <w:p>
      <w:pPr>
        <w:pStyle w:val="BodyText"/>
      </w:pPr>
      <w:r>
        <w:t xml:space="preserve">Have housing prices in the Netherlands increased faster than incomes over the past ten years?</w:t>
      </w:r>
    </w:p>
    <w:p>
      <w:pPr>
        <w:pStyle w:val="BodyText"/>
      </w:pPr>
      <w:r>
        <w:t xml:space="preserve">To answer this question, the following sub-questions are examined:</w:t>
      </w:r>
      <w:r>
        <w:t xml:space="preserve"> </w:t>
      </w:r>
      <w:r>
        <w:t xml:space="preserve">1. How have house prices and average incomes developed between 2014 and 2024?</w:t>
      </w:r>
      <w:r>
        <w:t xml:space="preserve"> </w:t>
      </w:r>
      <w:r>
        <w:t xml:space="preserve">2. How has housing affordability changed during this period?</w:t>
      </w:r>
      <w:r>
        <w:t xml:space="preserve"> </w:t>
      </w:r>
      <w:r>
        <w:t xml:space="preserve">3. Are there significant differences in housing affordability between Dutch provinces?</w:t>
      </w:r>
      <w:r>
        <w:t xml:space="preserve"> </w:t>
      </w:r>
      <w:r>
        <w:t xml:space="preserve">4. Is there a visible change in the affordability trend around the introduction of the 2024 rent regulation?</w:t>
      </w:r>
    </w:p>
    <w:bookmarkEnd w:id="12"/>
    <w:bookmarkEnd w:id="13"/>
    <w:bookmarkStart w:id="17" w:name="part-2---data-sourcing"/>
    <w:p>
      <w:pPr>
        <w:pStyle w:val="Heading1"/>
      </w:pPr>
      <w:r>
        <w:t xml:space="preserve">Part 2 - Data Sourcing</w:t>
      </w:r>
    </w:p>
    <w:bookmarkStart w:id="14" w:name="load-in-the-data"/>
    <w:p>
      <w:pPr>
        <w:pStyle w:val="Heading2"/>
      </w:pPr>
      <w:r>
        <w:t xml:space="preserve">2.1 Load in the data</w:t>
      </w:r>
    </w:p>
    <w:p>
      <w:pPr>
        <w:pStyle w:val="FirstParagraph"/>
      </w:pPr>
      <w:r>
        <w:t xml:space="preserve">Preferably from a URL, but if not, make sure to download the data and store it in a shared location that you can load the data in from. Do not store the data in a folder you include in the Github repository!</w:t>
      </w:r>
    </w:p>
    <w:bookmarkEnd w:id="14"/>
    <w:bookmarkStart w:id="15" w:name="provide-a-short-summary-of-the-datasets"/>
    <w:p>
      <w:pPr>
        <w:pStyle w:val="Heading2"/>
      </w:pPr>
      <w:r>
        <w:t xml:space="preserve">2.2 Provide a short summary of the dataset(s)</w:t>
      </w:r>
    </w:p>
    <w:p>
      <w:pPr>
        <w:pStyle w:val="FirstParagraph"/>
      </w:pPr>
      <w:r>
        <w:t xml:space="preserve">The primairy data for this study is sourced from Statistics Netherlands (CBS). The original comprehensive dataset consists of 24,335 observations (rows) and 326 variabeles (columns), capturing key socio-economic indicators such as disposable income per employee and WOZ property values for different years and provinces.</w:t>
      </w:r>
    </w:p>
    <w:p>
      <w:pPr>
        <w:pStyle w:val="BodyText"/>
      </w:pPr>
      <w:r>
        <w:t xml:space="preserve">Given the extensive nature of the data, the single source was programmatically divided into two distinct subsets within R to isolate the specific variabeles required for analysis. The first subset captures detailed data on income per region, while the second focuses on regional WOZ values over time. To reconstruct the data for analysis, these two refined datsets were subsequently merged back together using relational filtering. This process ensures data usability while retaining critical demographic data to evaluate differences across various sub-populations and regions.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Year</w:t>
            </w:r>
          </w:p>
        </w:tc>
        <w:tc>
          <w:tcPr/>
          <w:p>
            <w:pPr>
              <w:pStyle w:val="Compact"/>
              <w:jc w:val="left"/>
            </w:pPr>
            <w:r>
              <w:t xml:space="preserve">RegioS</w:t>
            </w:r>
          </w:p>
        </w:tc>
        <w:tc>
          <w:tcPr/>
          <w:p>
            <w:pPr>
              <w:pStyle w:val="Compact"/>
              <w:jc w:val="left"/>
            </w:pPr>
            <w:r>
              <w:t xml:space="preserve">RegioS_label</w:t>
            </w:r>
          </w:p>
        </w:tc>
        <w:tc>
          <w:tcPr/>
          <w:p>
            <w:pPr>
              <w:pStyle w:val="Compact"/>
              <w:jc w:val="right"/>
            </w:pPr>
            <w:r>
              <w:t xml:space="preserve">GemiddeldeWOZWaardeVanWoningen_98</w:t>
            </w:r>
          </w:p>
        </w:tc>
      </w:tr>
      <w:tr>
        <w:tc>
          <w:tcPr/>
          <w:p>
            <w:pPr>
              <w:pStyle w:val="Compact"/>
              <w:jc w:val="right"/>
            </w:pPr>
            <w:r>
              <w:t xml:space="preserve">2023</w:t>
            </w:r>
          </w:p>
        </w:tc>
        <w:tc>
          <w:tcPr/>
          <w:p>
            <w:pPr>
              <w:pStyle w:val="Compact"/>
              <w:jc w:val="left"/>
            </w:pPr>
            <w:r>
              <w:t xml:space="preserve">PV20</w:t>
            </w:r>
          </w:p>
        </w:tc>
        <w:tc>
          <w:tcPr/>
          <w:p>
            <w:pPr>
              <w:pStyle w:val="Compact"/>
              <w:jc w:val="left"/>
            </w:pPr>
            <w:r>
              <w:t xml:space="preserve">Groningen (PV)</w:t>
            </w:r>
          </w:p>
        </w:tc>
        <w:tc>
          <w:tcPr/>
          <w:p>
            <w:pPr>
              <w:pStyle w:val="Compact"/>
              <w:jc w:val="right"/>
            </w:pPr>
            <w:r>
              <w:t xml:space="preserve">268</w:t>
            </w:r>
          </w:p>
        </w:tc>
      </w:tr>
      <w:tr>
        <w:tc>
          <w:tcPr/>
          <w:p>
            <w:pPr>
              <w:pStyle w:val="Compact"/>
              <w:jc w:val="right"/>
            </w:pPr>
            <w:r>
              <w:t xml:space="preserve">2023</w:t>
            </w:r>
          </w:p>
        </w:tc>
        <w:tc>
          <w:tcPr/>
          <w:p>
            <w:pPr>
              <w:pStyle w:val="Compact"/>
              <w:jc w:val="left"/>
            </w:pPr>
            <w:r>
              <w:t xml:space="preserve">PV21</w:t>
            </w:r>
          </w:p>
        </w:tc>
        <w:tc>
          <w:tcPr/>
          <w:p>
            <w:pPr>
              <w:pStyle w:val="Compact"/>
              <w:jc w:val="left"/>
            </w:pPr>
            <w:r>
              <w:t xml:space="preserve">Fryslân (PV)</w:t>
            </w:r>
          </w:p>
        </w:tc>
        <w:tc>
          <w:tcPr/>
          <w:p>
            <w:pPr>
              <w:pStyle w:val="Compact"/>
              <w:jc w:val="right"/>
            </w:pPr>
            <w:r>
              <w:t xml:space="preserve">277</w:t>
            </w:r>
          </w:p>
        </w:tc>
      </w:tr>
      <w:tr>
        <w:tc>
          <w:tcPr/>
          <w:p>
            <w:pPr>
              <w:pStyle w:val="Compact"/>
              <w:jc w:val="right"/>
            </w:pPr>
            <w:r>
              <w:t xml:space="preserve">2023</w:t>
            </w:r>
          </w:p>
        </w:tc>
        <w:tc>
          <w:tcPr/>
          <w:p>
            <w:pPr>
              <w:pStyle w:val="Compact"/>
              <w:jc w:val="left"/>
            </w:pPr>
            <w:r>
              <w:t xml:space="preserve">PV22</w:t>
            </w:r>
          </w:p>
        </w:tc>
        <w:tc>
          <w:tcPr/>
          <w:p>
            <w:pPr>
              <w:pStyle w:val="Compact"/>
              <w:jc w:val="left"/>
            </w:pPr>
            <w:r>
              <w:t xml:space="preserve">Drenthe (PV)</w:t>
            </w:r>
          </w:p>
        </w:tc>
        <w:tc>
          <w:tcPr/>
          <w:p>
            <w:pPr>
              <w:pStyle w:val="Compact"/>
              <w:jc w:val="right"/>
            </w:pPr>
            <w:r>
              <w:t xml:space="preserve">294</w:t>
            </w:r>
          </w:p>
        </w:tc>
      </w:tr>
      <w:tr>
        <w:tc>
          <w:tcPr/>
          <w:p>
            <w:pPr>
              <w:pStyle w:val="Compact"/>
              <w:jc w:val="right"/>
            </w:pPr>
            <w:r>
              <w:t xml:space="preserve">2023</w:t>
            </w:r>
          </w:p>
        </w:tc>
        <w:tc>
          <w:tcPr/>
          <w:p>
            <w:pPr>
              <w:pStyle w:val="Compact"/>
              <w:jc w:val="left"/>
            </w:pPr>
            <w:r>
              <w:t xml:space="preserve">PV23</w:t>
            </w:r>
          </w:p>
        </w:tc>
        <w:tc>
          <w:tcPr/>
          <w:p>
            <w:pPr>
              <w:pStyle w:val="Compact"/>
              <w:jc w:val="left"/>
            </w:pPr>
            <w:r>
              <w:t xml:space="preserve">Overijssel (PV)</w:t>
            </w:r>
          </w:p>
        </w:tc>
        <w:tc>
          <w:tcPr/>
          <w:p>
            <w:pPr>
              <w:pStyle w:val="Compact"/>
              <w:jc w:val="right"/>
            </w:pPr>
            <w:r>
              <w:t xml:space="preserve">325</w:t>
            </w:r>
          </w:p>
        </w:tc>
      </w:tr>
      <w:tr>
        <w:tc>
          <w:tcPr/>
          <w:p>
            <w:pPr>
              <w:pStyle w:val="Compact"/>
              <w:jc w:val="right"/>
            </w:pPr>
            <w:r>
              <w:t xml:space="preserve">2023</w:t>
            </w:r>
          </w:p>
        </w:tc>
        <w:tc>
          <w:tcPr/>
          <w:p>
            <w:pPr>
              <w:pStyle w:val="Compact"/>
              <w:jc w:val="left"/>
            </w:pPr>
            <w:r>
              <w:t xml:space="preserve">PV24</w:t>
            </w:r>
          </w:p>
        </w:tc>
        <w:tc>
          <w:tcPr/>
          <w:p>
            <w:pPr>
              <w:pStyle w:val="Compact"/>
              <w:jc w:val="left"/>
            </w:pPr>
            <w:r>
              <w:t xml:space="preserve">Flevoland (PV)</w:t>
            </w:r>
          </w:p>
        </w:tc>
        <w:tc>
          <w:tcPr/>
          <w:p>
            <w:pPr>
              <w:pStyle w:val="Compact"/>
              <w:jc w:val="right"/>
            </w:pPr>
            <w:r>
              <w:t xml:space="preserve">347</w:t>
            </w:r>
          </w:p>
        </w:tc>
      </w:tr>
      <w:tr>
        <w:tc>
          <w:tcPr/>
          <w:p>
            <w:pPr>
              <w:pStyle w:val="Compact"/>
              <w:jc w:val="right"/>
            </w:pPr>
            <w:r>
              <w:t xml:space="preserve">2023</w:t>
            </w:r>
          </w:p>
        </w:tc>
        <w:tc>
          <w:tcPr/>
          <w:p>
            <w:pPr>
              <w:pStyle w:val="Compact"/>
              <w:jc w:val="left"/>
            </w:pPr>
            <w:r>
              <w:t xml:space="preserve">PV25</w:t>
            </w:r>
          </w:p>
        </w:tc>
        <w:tc>
          <w:tcPr/>
          <w:p>
            <w:pPr>
              <w:pStyle w:val="Compact"/>
              <w:jc w:val="left"/>
            </w:pPr>
            <w:r>
              <w:t xml:space="preserve">Gelderland (PV)</w:t>
            </w:r>
          </w:p>
        </w:tc>
        <w:tc>
          <w:tcPr/>
          <w:p>
            <w:pPr>
              <w:pStyle w:val="Compact"/>
              <w:jc w:val="right"/>
            </w:pPr>
            <w:r>
              <w:t xml:space="preserve">364</w:t>
            </w:r>
          </w:p>
        </w:tc>
      </w:tr>
      <w:tr>
        <w:tc>
          <w:tcPr/>
          <w:p>
            <w:pPr>
              <w:pStyle w:val="Compact"/>
              <w:jc w:val="right"/>
            </w:pPr>
            <w:r>
              <w:t xml:space="preserve">2023</w:t>
            </w:r>
          </w:p>
        </w:tc>
        <w:tc>
          <w:tcPr/>
          <w:p>
            <w:pPr>
              <w:pStyle w:val="Compact"/>
              <w:jc w:val="left"/>
            </w:pPr>
            <w:r>
              <w:t xml:space="preserve">PV26</w:t>
            </w:r>
          </w:p>
        </w:tc>
        <w:tc>
          <w:tcPr/>
          <w:p>
            <w:pPr>
              <w:pStyle w:val="Compact"/>
              <w:jc w:val="left"/>
            </w:pPr>
            <w:r>
              <w:t xml:space="preserve">Utrecht (PV)</w:t>
            </w:r>
          </w:p>
        </w:tc>
        <w:tc>
          <w:tcPr/>
          <w:p>
            <w:pPr>
              <w:pStyle w:val="Compact"/>
              <w:jc w:val="right"/>
            </w:pPr>
            <w:r>
              <w:t xml:space="preserve">447</w:t>
            </w:r>
          </w:p>
        </w:tc>
      </w:tr>
      <w:tr>
        <w:tc>
          <w:tcPr/>
          <w:p>
            <w:pPr>
              <w:pStyle w:val="Compact"/>
              <w:jc w:val="right"/>
            </w:pPr>
            <w:r>
              <w:t xml:space="preserve">2023</w:t>
            </w:r>
          </w:p>
        </w:tc>
        <w:tc>
          <w:tcPr/>
          <w:p>
            <w:pPr>
              <w:pStyle w:val="Compact"/>
              <w:jc w:val="left"/>
            </w:pPr>
            <w:r>
              <w:t xml:space="preserve">PV27</w:t>
            </w:r>
          </w:p>
        </w:tc>
        <w:tc>
          <w:tcPr/>
          <w:p>
            <w:pPr>
              <w:pStyle w:val="Compact"/>
              <w:jc w:val="left"/>
            </w:pPr>
            <w:r>
              <w:t xml:space="preserve">Noord-Holland (PV)</w:t>
            </w:r>
          </w:p>
        </w:tc>
        <w:tc>
          <w:tcPr/>
          <w:p>
            <w:pPr>
              <w:pStyle w:val="Compact"/>
              <w:jc w:val="right"/>
            </w:pPr>
            <w:r>
              <w:t xml:space="preserve">460</w:t>
            </w:r>
          </w:p>
        </w:tc>
      </w:tr>
      <w:tr>
        <w:tc>
          <w:tcPr/>
          <w:p>
            <w:pPr>
              <w:pStyle w:val="Compact"/>
              <w:jc w:val="right"/>
            </w:pPr>
            <w:r>
              <w:t xml:space="preserve">2023</w:t>
            </w:r>
          </w:p>
        </w:tc>
        <w:tc>
          <w:tcPr/>
          <w:p>
            <w:pPr>
              <w:pStyle w:val="Compact"/>
              <w:jc w:val="left"/>
            </w:pPr>
            <w:r>
              <w:t xml:space="preserve">PV28</w:t>
            </w:r>
          </w:p>
        </w:tc>
        <w:tc>
          <w:tcPr/>
          <w:p>
            <w:pPr>
              <w:pStyle w:val="Compact"/>
              <w:jc w:val="left"/>
            </w:pPr>
            <w:r>
              <w:t xml:space="preserve">Zuid-Holland (PV)</w:t>
            </w:r>
          </w:p>
        </w:tc>
        <w:tc>
          <w:tcPr/>
          <w:p>
            <w:pPr>
              <w:pStyle w:val="Compact"/>
              <w:jc w:val="right"/>
            </w:pPr>
            <w:r>
              <w:t xml:space="preserve">359</w:t>
            </w:r>
          </w:p>
        </w:tc>
      </w:tr>
      <w:tr>
        <w:tc>
          <w:tcPr/>
          <w:p>
            <w:pPr>
              <w:pStyle w:val="Compact"/>
              <w:jc w:val="right"/>
            </w:pPr>
            <w:r>
              <w:t xml:space="preserve">2023</w:t>
            </w:r>
          </w:p>
        </w:tc>
        <w:tc>
          <w:tcPr/>
          <w:p>
            <w:pPr>
              <w:pStyle w:val="Compact"/>
              <w:jc w:val="left"/>
            </w:pPr>
            <w:r>
              <w:t xml:space="preserve">PV29</w:t>
            </w:r>
          </w:p>
        </w:tc>
        <w:tc>
          <w:tcPr/>
          <w:p>
            <w:pPr>
              <w:pStyle w:val="Compact"/>
              <w:jc w:val="left"/>
            </w:pPr>
            <w:r>
              <w:t xml:space="preserve">Zeeland (PV)</w:t>
            </w:r>
          </w:p>
        </w:tc>
        <w:tc>
          <w:tcPr/>
          <w:p>
            <w:pPr>
              <w:pStyle w:val="Compact"/>
              <w:jc w:val="right"/>
            </w:pPr>
            <w:r>
              <w:t xml:space="preserve">281</w:t>
            </w:r>
          </w:p>
        </w:tc>
      </w:tr>
      <w:tr>
        <w:tc>
          <w:tcPr/>
          <w:p>
            <w:pPr>
              <w:pStyle w:val="Compact"/>
              <w:jc w:val="right"/>
            </w:pPr>
            <w:r>
              <w:t xml:space="preserve">2023</w:t>
            </w:r>
          </w:p>
        </w:tc>
        <w:tc>
          <w:tcPr/>
          <w:p>
            <w:pPr>
              <w:pStyle w:val="Compact"/>
              <w:jc w:val="left"/>
            </w:pPr>
            <w:r>
              <w:t xml:space="preserve">PV30</w:t>
            </w:r>
          </w:p>
        </w:tc>
        <w:tc>
          <w:tcPr/>
          <w:p>
            <w:pPr>
              <w:pStyle w:val="Compact"/>
              <w:jc w:val="left"/>
            </w:pPr>
            <w:r>
              <w:t xml:space="preserve">Noord-Brabant (PV)</w:t>
            </w:r>
          </w:p>
        </w:tc>
        <w:tc>
          <w:tcPr/>
          <w:p>
            <w:pPr>
              <w:pStyle w:val="Compact"/>
              <w:jc w:val="right"/>
            </w:pPr>
            <w:r>
              <w:t xml:space="preserve">370</w:t>
            </w:r>
          </w:p>
        </w:tc>
      </w:tr>
      <w:tr>
        <w:tc>
          <w:tcPr/>
          <w:p>
            <w:pPr>
              <w:pStyle w:val="Compact"/>
              <w:jc w:val="right"/>
            </w:pPr>
            <w:r>
              <w:t xml:space="preserve">2023</w:t>
            </w:r>
          </w:p>
        </w:tc>
        <w:tc>
          <w:tcPr/>
          <w:p>
            <w:pPr>
              <w:pStyle w:val="Compact"/>
              <w:jc w:val="left"/>
            </w:pPr>
            <w:r>
              <w:t xml:space="preserve">PV31</w:t>
            </w:r>
          </w:p>
        </w:tc>
        <w:tc>
          <w:tcPr/>
          <w:p>
            <w:pPr>
              <w:pStyle w:val="Compact"/>
              <w:jc w:val="left"/>
            </w:pPr>
            <w:r>
              <w:t xml:space="preserve">Limburg (PV)</w:t>
            </w:r>
          </w:p>
        </w:tc>
        <w:tc>
          <w:tcPr/>
          <w:p>
            <w:pPr>
              <w:pStyle w:val="Compact"/>
              <w:jc w:val="right"/>
            </w:pPr>
            <w:r>
              <w:t xml:space="preserve">288</w:t>
            </w:r>
          </w:p>
        </w:tc>
      </w:tr>
    </w:tbl>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Year</w:t>
            </w:r>
          </w:p>
        </w:tc>
        <w:tc>
          <w:tcPr/>
          <w:p>
            <w:pPr>
              <w:pStyle w:val="Compact"/>
              <w:jc w:val="left"/>
            </w:pPr>
            <w:r>
              <w:t xml:space="preserve">RegioS</w:t>
            </w:r>
          </w:p>
        </w:tc>
        <w:tc>
          <w:tcPr/>
          <w:p>
            <w:pPr>
              <w:pStyle w:val="Compact"/>
              <w:jc w:val="left"/>
            </w:pPr>
            <w:r>
              <w:t xml:space="preserve">RegioS_label</w:t>
            </w:r>
          </w:p>
        </w:tc>
        <w:tc>
          <w:tcPr/>
          <w:p>
            <w:pPr>
              <w:pStyle w:val="Compact"/>
              <w:jc w:val="right"/>
            </w:pPr>
            <w:r>
              <w:t xml:space="preserve">BronInkomenAlsWerknemer_141</w:t>
            </w:r>
          </w:p>
        </w:tc>
      </w:tr>
      <w:tr>
        <w:tc>
          <w:tcPr/>
          <w:p>
            <w:pPr>
              <w:pStyle w:val="Compact"/>
              <w:jc w:val="right"/>
            </w:pPr>
            <w:r>
              <w:t xml:space="preserve">2023</w:t>
            </w:r>
          </w:p>
        </w:tc>
        <w:tc>
          <w:tcPr/>
          <w:p>
            <w:pPr>
              <w:pStyle w:val="Compact"/>
              <w:jc w:val="left"/>
            </w:pPr>
            <w:r>
              <w:t xml:space="preserve">PV20</w:t>
            </w:r>
          </w:p>
        </w:tc>
        <w:tc>
          <w:tcPr/>
          <w:p>
            <w:pPr>
              <w:pStyle w:val="Compact"/>
              <w:jc w:val="left"/>
            </w:pPr>
            <w:r>
              <w:t xml:space="preserve">Groningen (PV)</w:t>
            </w:r>
          </w:p>
        </w:tc>
        <w:tc>
          <w:tcPr/>
          <w:p>
            <w:pPr>
              <w:pStyle w:val="Compact"/>
              <w:jc w:val="right"/>
            </w:pPr>
            <w:r>
              <w:t xml:space="preserve">37.5</w:t>
            </w:r>
          </w:p>
        </w:tc>
      </w:tr>
      <w:tr>
        <w:tc>
          <w:tcPr/>
          <w:p>
            <w:pPr>
              <w:pStyle w:val="Compact"/>
              <w:jc w:val="right"/>
            </w:pPr>
            <w:r>
              <w:t xml:space="preserve">2023</w:t>
            </w:r>
          </w:p>
        </w:tc>
        <w:tc>
          <w:tcPr/>
          <w:p>
            <w:pPr>
              <w:pStyle w:val="Compact"/>
              <w:jc w:val="left"/>
            </w:pPr>
            <w:r>
              <w:t xml:space="preserve">PV21</w:t>
            </w:r>
          </w:p>
        </w:tc>
        <w:tc>
          <w:tcPr/>
          <w:p>
            <w:pPr>
              <w:pStyle w:val="Compact"/>
              <w:jc w:val="left"/>
            </w:pPr>
            <w:r>
              <w:t xml:space="preserve">Fryslân (PV)</w:t>
            </w:r>
          </w:p>
        </w:tc>
        <w:tc>
          <w:tcPr/>
          <w:p>
            <w:pPr>
              <w:pStyle w:val="Compact"/>
              <w:jc w:val="right"/>
            </w:pPr>
            <w:r>
              <w:t xml:space="preserve">37.9</w:t>
            </w:r>
          </w:p>
        </w:tc>
      </w:tr>
      <w:tr>
        <w:tc>
          <w:tcPr/>
          <w:p>
            <w:pPr>
              <w:pStyle w:val="Compact"/>
              <w:jc w:val="right"/>
            </w:pPr>
            <w:r>
              <w:t xml:space="preserve">2023</w:t>
            </w:r>
          </w:p>
        </w:tc>
        <w:tc>
          <w:tcPr/>
          <w:p>
            <w:pPr>
              <w:pStyle w:val="Compact"/>
              <w:jc w:val="left"/>
            </w:pPr>
            <w:r>
              <w:t xml:space="preserve">PV22</w:t>
            </w:r>
          </w:p>
        </w:tc>
        <w:tc>
          <w:tcPr/>
          <w:p>
            <w:pPr>
              <w:pStyle w:val="Compact"/>
              <w:jc w:val="left"/>
            </w:pPr>
            <w:r>
              <w:t xml:space="preserve">Drenthe (PV)</w:t>
            </w:r>
          </w:p>
        </w:tc>
        <w:tc>
          <w:tcPr/>
          <w:p>
            <w:pPr>
              <w:pStyle w:val="Compact"/>
              <w:jc w:val="right"/>
            </w:pPr>
            <w:r>
              <w:t xml:space="preserve">39.7</w:t>
            </w:r>
          </w:p>
        </w:tc>
      </w:tr>
      <w:tr>
        <w:tc>
          <w:tcPr/>
          <w:p>
            <w:pPr>
              <w:pStyle w:val="Compact"/>
              <w:jc w:val="right"/>
            </w:pPr>
            <w:r>
              <w:t xml:space="preserve">2023</w:t>
            </w:r>
          </w:p>
        </w:tc>
        <w:tc>
          <w:tcPr/>
          <w:p>
            <w:pPr>
              <w:pStyle w:val="Compact"/>
              <w:jc w:val="left"/>
            </w:pPr>
            <w:r>
              <w:t xml:space="preserve">PV23</w:t>
            </w:r>
          </w:p>
        </w:tc>
        <w:tc>
          <w:tcPr/>
          <w:p>
            <w:pPr>
              <w:pStyle w:val="Compact"/>
              <w:jc w:val="left"/>
            </w:pPr>
            <w:r>
              <w:t xml:space="preserve">Overijssel (PV)</w:t>
            </w:r>
          </w:p>
        </w:tc>
        <w:tc>
          <w:tcPr/>
          <w:p>
            <w:pPr>
              <w:pStyle w:val="Compact"/>
              <w:jc w:val="right"/>
            </w:pPr>
            <w:r>
              <w:t xml:space="preserve">39.5</w:t>
            </w:r>
          </w:p>
        </w:tc>
      </w:tr>
      <w:tr>
        <w:tc>
          <w:tcPr/>
          <w:p>
            <w:pPr>
              <w:pStyle w:val="Compact"/>
              <w:jc w:val="right"/>
            </w:pPr>
            <w:r>
              <w:t xml:space="preserve">2023</w:t>
            </w:r>
          </w:p>
        </w:tc>
        <w:tc>
          <w:tcPr/>
          <w:p>
            <w:pPr>
              <w:pStyle w:val="Compact"/>
              <w:jc w:val="left"/>
            </w:pPr>
            <w:r>
              <w:t xml:space="preserve">PV24</w:t>
            </w:r>
          </w:p>
        </w:tc>
        <w:tc>
          <w:tcPr/>
          <w:p>
            <w:pPr>
              <w:pStyle w:val="Compact"/>
              <w:jc w:val="left"/>
            </w:pPr>
            <w:r>
              <w:t xml:space="preserve">Flevoland (PV)</w:t>
            </w:r>
          </w:p>
        </w:tc>
        <w:tc>
          <w:tcPr/>
          <w:p>
            <w:pPr>
              <w:pStyle w:val="Compact"/>
              <w:jc w:val="right"/>
            </w:pPr>
            <w:r>
              <w:t xml:space="preserve">40.4</w:t>
            </w:r>
          </w:p>
        </w:tc>
      </w:tr>
      <w:tr>
        <w:tc>
          <w:tcPr/>
          <w:p>
            <w:pPr>
              <w:pStyle w:val="Compact"/>
              <w:jc w:val="right"/>
            </w:pPr>
            <w:r>
              <w:t xml:space="preserve">2023</w:t>
            </w:r>
          </w:p>
        </w:tc>
        <w:tc>
          <w:tcPr/>
          <w:p>
            <w:pPr>
              <w:pStyle w:val="Compact"/>
              <w:jc w:val="left"/>
            </w:pPr>
            <w:r>
              <w:t xml:space="preserve">PV25</w:t>
            </w:r>
          </w:p>
        </w:tc>
        <w:tc>
          <w:tcPr/>
          <w:p>
            <w:pPr>
              <w:pStyle w:val="Compact"/>
              <w:jc w:val="left"/>
            </w:pPr>
            <w:r>
              <w:t xml:space="preserve">Gelderland (PV)</w:t>
            </w:r>
          </w:p>
        </w:tc>
        <w:tc>
          <w:tcPr/>
          <w:p>
            <w:pPr>
              <w:pStyle w:val="Compact"/>
              <w:jc w:val="right"/>
            </w:pPr>
            <w:r>
              <w:t xml:space="preserve">40.6</w:t>
            </w:r>
          </w:p>
        </w:tc>
      </w:tr>
      <w:tr>
        <w:tc>
          <w:tcPr/>
          <w:p>
            <w:pPr>
              <w:pStyle w:val="Compact"/>
              <w:jc w:val="right"/>
            </w:pPr>
            <w:r>
              <w:t xml:space="preserve">2023</w:t>
            </w:r>
          </w:p>
        </w:tc>
        <w:tc>
          <w:tcPr/>
          <w:p>
            <w:pPr>
              <w:pStyle w:val="Compact"/>
              <w:jc w:val="left"/>
            </w:pPr>
            <w:r>
              <w:t xml:space="preserve">PV26</w:t>
            </w:r>
          </w:p>
        </w:tc>
        <w:tc>
          <w:tcPr/>
          <w:p>
            <w:pPr>
              <w:pStyle w:val="Compact"/>
              <w:jc w:val="left"/>
            </w:pPr>
            <w:r>
              <w:t xml:space="preserve">Utrecht (PV)</w:t>
            </w:r>
          </w:p>
        </w:tc>
        <w:tc>
          <w:tcPr/>
          <w:p>
            <w:pPr>
              <w:pStyle w:val="Compact"/>
              <w:jc w:val="right"/>
            </w:pPr>
            <w:r>
              <w:t xml:space="preserve">44.4</w:t>
            </w:r>
          </w:p>
        </w:tc>
      </w:tr>
      <w:tr>
        <w:tc>
          <w:tcPr/>
          <w:p>
            <w:pPr>
              <w:pStyle w:val="Compact"/>
              <w:jc w:val="right"/>
            </w:pPr>
            <w:r>
              <w:t xml:space="preserve">2023</w:t>
            </w:r>
          </w:p>
        </w:tc>
        <w:tc>
          <w:tcPr/>
          <w:p>
            <w:pPr>
              <w:pStyle w:val="Compact"/>
              <w:jc w:val="left"/>
            </w:pPr>
            <w:r>
              <w:t xml:space="preserve">PV27</w:t>
            </w:r>
          </w:p>
        </w:tc>
        <w:tc>
          <w:tcPr/>
          <w:p>
            <w:pPr>
              <w:pStyle w:val="Compact"/>
              <w:jc w:val="left"/>
            </w:pPr>
            <w:r>
              <w:t xml:space="preserve">Noord-Holland (PV)</w:t>
            </w:r>
          </w:p>
        </w:tc>
        <w:tc>
          <w:tcPr/>
          <w:p>
            <w:pPr>
              <w:pStyle w:val="Compact"/>
              <w:jc w:val="right"/>
            </w:pPr>
            <w:r>
              <w:t xml:space="preserve">44.7</w:t>
            </w:r>
          </w:p>
        </w:tc>
      </w:tr>
      <w:tr>
        <w:tc>
          <w:tcPr/>
          <w:p>
            <w:pPr>
              <w:pStyle w:val="Compact"/>
              <w:jc w:val="right"/>
            </w:pPr>
            <w:r>
              <w:t xml:space="preserve">2023</w:t>
            </w:r>
          </w:p>
        </w:tc>
        <w:tc>
          <w:tcPr/>
          <w:p>
            <w:pPr>
              <w:pStyle w:val="Compact"/>
              <w:jc w:val="left"/>
            </w:pPr>
            <w:r>
              <w:t xml:space="preserve">PV28</w:t>
            </w:r>
          </w:p>
        </w:tc>
        <w:tc>
          <w:tcPr/>
          <w:p>
            <w:pPr>
              <w:pStyle w:val="Compact"/>
              <w:jc w:val="left"/>
            </w:pPr>
            <w:r>
              <w:t xml:space="preserve">Zuid-Holland (PV)</w:t>
            </w:r>
          </w:p>
        </w:tc>
        <w:tc>
          <w:tcPr/>
          <w:p>
            <w:pPr>
              <w:pStyle w:val="Compact"/>
              <w:jc w:val="right"/>
            </w:pPr>
            <w:r>
              <w:t xml:space="preserve">42.4</w:t>
            </w:r>
          </w:p>
        </w:tc>
      </w:tr>
      <w:tr>
        <w:tc>
          <w:tcPr/>
          <w:p>
            <w:pPr>
              <w:pStyle w:val="Compact"/>
              <w:jc w:val="right"/>
            </w:pPr>
            <w:r>
              <w:t xml:space="preserve">2023</w:t>
            </w:r>
          </w:p>
        </w:tc>
        <w:tc>
          <w:tcPr/>
          <w:p>
            <w:pPr>
              <w:pStyle w:val="Compact"/>
              <w:jc w:val="left"/>
            </w:pPr>
            <w:r>
              <w:t xml:space="preserve">PV29</w:t>
            </w:r>
          </w:p>
        </w:tc>
        <w:tc>
          <w:tcPr/>
          <w:p>
            <w:pPr>
              <w:pStyle w:val="Compact"/>
              <w:jc w:val="left"/>
            </w:pPr>
            <w:r>
              <w:t xml:space="preserve">Zeeland (PV)</w:t>
            </w:r>
          </w:p>
        </w:tc>
        <w:tc>
          <w:tcPr/>
          <w:p>
            <w:pPr>
              <w:pStyle w:val="Compact"/>
              <w:jc w:val="right"/>
            </w:pPr>
            <w:r>
              <w:t xml:space="preserve">40.3</w:t>
            </w:r>
          </w:p>
        </w:tc>
      </w:tr>
      <w:tr>
        <w:tc>
          <w:tcPr/>
          <w:p>
            <w:pPr>
              <w:pStyle w:val="Compact"/>
              <w:jc w:val="right"/>
            </w:pPr>
            <w:r>
              <w:t xml:space="preserve">2023</w:t>
            </w:r>
          </w:p>
        </w:tc>
        <w:tc>
          <w:tcPr/>
          <w:p>
            <w:pPr>
              <w:pStyle w:val="Compact"/>
              <w:jc w:val="left"/>
            </w:pPr>
            <w:r>
              <w:t xml:space="preserve">PV30</w:t>
            </w:r>
          </w:p>
        </w:tc>
        <w:tc>
          <w:tcPr/>
          <w:p>
            <w:pPr>
              <w:pStyle w:val="Compact"/>
              <w:jc w:val="left"/>
            </w:pPr>
            <w:r>
              <w:t xml:space="preserve">Noord-Brabant (PV)</w:t>
            </w:r>
          </w:p>
        </w:tc>
        <w:tc>
          <w:tcPr/>
          <w:p>
            <w:pPr>
              <w:pStyle w:val="Compact"/>
              <w:jc w:val="right"/>
            </w:pPr>
            <w:r>
              <w:t xml:space="preserve">41.8</w:t>
            </w:r>
          </w:p>
        </w:tc>
      </w:tr>
      <w:tr>
        <w:tc>
          <w:tcPr/>
          <w:p>
            <w:pPr>
              <w:pStyle w:val="Compact"/>
              <w:jc w:val="right"/>
            </w:pPr>
            <w:r>
              <w:t xml:space="preserve">2023</w:t>
            </w:r>
          </w:p>
        </w:tc>
        <w:tc>
          <w:tcPr/>
          <w:p>
            <w:pPr>
              <w:pStyle w:val="Compact"/>
              <w:jc w:val="left"/>
            </w:pPr>
            <w:r>
              <w:t xml:space="preserve">PV31</w:t>
            </w:r>
          </w:p>
        </w:tc>
        <w:tc>
          <w:tcPr/>
          <w:p>
            <w:pPr>
              <w:pStyle w:val="Compact"/>
              <w:jc w:val="left"/>
            </w:pPr>
            <w:r>
              <w:t xml:space="preserve">Limburg (PV)</w:t>
            </w:r>
          </w:p>
        </w:tc>
        <w:tc>
          <w:tcPr/>
          <w:p>
            <w:pPr>
              <w:pStyle w:val="Compact"/>
              <w:jc w:val="right"/>
            </w:pPr>
            <w:r>
              <w:t xml:space="preserve">39.9</w:t>
            </w:r>
          </w:p>
        </w:tc>
      </w:tr>
    </w:tbl>
    <w:p/>
    <w:tbl>
      <w:tblPr>
        <w:tblStyle w:val="Table"/>
        <w:tblW w:type="pct" w:w="5000"/>
        <w:tblLayout w:type="fixed"/>
        <w:tblLook w:firstRow="1" w:lastRow="0" w:firstColumn="0" w:lastColumn="0" w:noHBand="0" w:noVBand="0" w:val="0020"/>
      </w:tblPr>
      <w:tblGrid>
        <w:gridCol w:w="557"/>
        <w:gridCol w:w="780"/>
        <w:gridCol w:w="2119"/>
        <w:gridCol w:w="1561"/>
        <w:gridCol w:w="1896"/>
        <w:gridCol w:w="1003"/>
      </w:tblGrid>
      <w:tr>
        <w:trPr>
          <w:tblHeader w:val="on"/>
        </w:trPr>
        <w:tc>
          <w:tcPr/>
          <w:p>
            <w:pPr>
              <w:pStyle w:val="Compact"/>
              <w:jc w:val="right"/>
            </w:pPr>
            <w:r>
              <w:t xml:space="preserve">Year</w:t>
            </w:r>
          </w:p>
        </w:tc>
        <w:tc>
          <w:tcPr/>
          <w:p>
            <w:pPr>
              <w:pStyle w:val="Compact"/>
              <w:jc w:val="left"/>
            </w:pPr>
            <w:r>
              <w:t xml:space="preserve">RegioS</w:t>
            </w:r>
          </w:p>
        </w:tc>
        <w:tc>
          <w:tcPr/>
          <w:p>
            <w:pPr>
              <w:pStyle w:val="Compact"/>
              <w:jc w:val="left"/>
            </w:pPr>
            <w:r>
              <w:t xml:space="preserve">RegioS_label</w:t>
            </w:r>
          </w:p>
        </w:tc>
        <w:tc>
          <w:tcPr/>
          <w:p>
            <w:pPr>
              <w:pStyle w:val="Compact"/>
              <w:jc w:val="right"/>
            </w:pPr>
            <w:r>
              <w:t xml:space="preserve">GemiddeldeWOZ</w:t>
            </w:r>
          </w:p>
        </w:tc>
        <w:tc>
          <w:tcPr/>
          <w:p>
            <w:pPr>
              <w:pStyle w:val="Compact"/>
              <w:jc w:val="right"/>
            </w:pPr>
            <w:r>
              <w:t xml:space="preserve">InkomenWerknemer</w:t>
            </w:r>
          </w:p>
        </w:tc>
        <w:tc>
          <w:tcPr/>
          <w:p>
            <w:pPr>
              <w:pStyle w:val="Compact"/>
              <w:jc w:val="left"/>
            </w:pPr>
            <w:r>
              <w:t xml:space="preserve">statcode</w:t>
            </w:r>
          </w:p>
        </w:tc>
      </w:tr>
      <w:tr>
        <w:tc>
          <w:tcPr/>
          <w:p>
            <w:pPr>
              <w:pStyle w:val="Compact"/>
              <w:jc w:val="right"/>
            </w:pPr>
            <w:r>
              <w:t xml:space="preserve">2023</w:t>
            </w:r>
          </w:p>
        </w:tc>
        <w:tc>
          <w:tcPr/>
          <w:p>
            <w:pPr>
              <w:pStyle w:val="Compact"/>
              <w:jc w:val="left"/>
            </w:pPr>
            <w:r>
              <w:t xml:space="preserve">PV20</w:t>
            </w:r>
          </w:p>
        </w:tc>
        <w:tc>
          <w:tcPr/>
          <w:p>
            <w:pPr>
              <w:pStyle w:val="Compact"/>
              <w:jc w:val="left"/>
            </w:pPr>
            <w:r>
              <w:t xml:space="preserve">Groningen (PV)</w:t>
            </w:r>
          </w:p>
        </w:tc>
        <w:tc>
          <w:tcPr/>
          <w:p>
            <w:pPr>
              <w:pStyle w:val="Compact"/>
              <w:jc w:val="right"/>
            </w:pPr>
            <w:r>
              <w:t xml:space="preserve">268</w:t>
            </w:r>
          </w:p>
        </w:tc>
        <w:tc>
          <w:tcPr/>
          <w:p>
            <w:pPr>
              <w:pStyle w:val="Compact"/>
              <w:jc w:val="right"/>
            </w:pPr>
            <w:r>
              <w:t xml:space="preserve">37.5</w:t>
            </w:r>
          </w:p>
        </w:tc>
        <w:tc>
          <w:tcPr/>
          <w:p>
            <w:pPr>
              <w:pStyle w:val="Compact"/>
              <w:jc w:val="left"/>
            </w:pPr>
            <w:r>
              <w:t xml:space="preserve">PV20</w:t>
            </w:r>
          </w:p>
        </w:tc>
      </w:tr>
      <w:tr>
        <w:tc>
          <w:tcPr/>
          <w:p>
            <w:pPr>
              <w:pStyle w:val="Compact"/>
              <w:jc w:val="right"/>
            </w:pPr>
            <w:r>
              <w:t xml:space="preserve">2023</w:t>
            </w:r>
          </w:p>
        </w:tc>
        <w:tc>
          <w:tcPr/>
          <w:p>
            <w:pPr>
              <w:pStyle w:val="Compact"/>
              <w:jc w:val="left"/>
            </w:pPr>
            <w:r>
              <w:t xml:space="preserve">PV21</w:t>
            </w:r>
          </w:p>
        </w:tc>
        <w:tc>
          <w:tcPr/>
          <w:p>
            <w:pPr>
              <w:pStyle w:val="Compact"/>
              <w:jc w:val="left"/>
            </w:pPr>
            <w:r>
              <w:t xml:space="preserve">Fryslân (PV)</w:t>
            </w:r>
          </w:p>
        </w:tc>
        <w:tc>
          <w:tcPr/>
          <w:p>
            <w:pPr>
              <w:pStyle w:val="Compact"/>
              <w:jc w:val="right"/>
            </w:pPr>
            <w:r>
              <w:t xml:space="preserve">277</w:t>
            </w:r>
          </w:p>
        </w:tc>
        <w:tc>
          <w:tcPr/>
          <w:p>
            <w:pPr>
              <w:pStyle w:val="Compact"/>
              <w:jc w:val="right"/>
            </w:pPr>
            <w:r>
              <w:t xml:space="preserve">37.9</w:t>
            </w:r>
          </w:p>
        </w:tc>
        <w:tc>
          <w:tcPr/>
          <w:p>
            <w:pPr>
              <w:pStyle w:val="Compact"/>
              <w:jc w:val="left"/>
            </w:pPr>
            <w:r>
              <w:t xml:space="preserve">PV21</w:t>
            </w:r>
          </w:p>
        </w:tc>
      </w:tr>
      <w:tr>
        <w:tc>
          <w:tcPr/>
          <w:p>
            <w:pPr>
              <w:pStyle w:val="Compact"/>
              <w:jc w:val="right"/>
            </w:pPr>
            <w:r>
              <w:t xml:space="preserve">2023</w:t>
            </w:r>
          </w:p>
        </w:tc>
        <w:tc>
          <w:tcPr/>
          <w:p>
            <w:pPr>
              <w:pStyle w:val="Compact"/>
              <w:jc w:val="left"/>
            </w:pPr>
            <w:r>
              <w:t xml:space="preserve">PV22</w:t>
            </w:r>
          </w:p>
        </w:tc>
        <w:tc>
          <w:tcPr/>
          <w:p>
            <w:pPr>
              <w:pStyle w:val="Compact"/>
              <w:jc w:val="left"/>
            </w:pPr>
            <w:r>
              <w:t xml:space="preserve">Drenthe (PV)</w:t>
            </w:r>
          </w:p>
        </w:tc>
        <w:tc>
          <w:tcPr/>
          <w:p>
            <w:pPr>
              <w:pStyle w:val="Compact"/>
              <w:jc w:val="right"/>
            </w:pPr>
            <w:r>
              <w:t xml:space="preserve">294</w:t>
            </w:r>
          </w:p>
        </w:tc>
        <w:tc>
          <w:tcPr/>
          <w:p>
            <w:pPr>
              <w:pStyle w:val="Compact"/>
              <w:jc w:val="right"/>
            </w:pPr>
            <w:r>
              <w:t xml:space="preserve">39.7</w:t>
            </w:r>
          </w:p>
        </w:tc>
        <w:tc>
          <w:tcPr/>
          <w:p>
            <w:pPr>
              <w:pStyle w:val="Compact"/>
              <w:jc w:val="left"/>
            </w:pPr>
            <w:r>
              <w:t xml:space="preserve">PV22</w:t>
            </w:r>
          </w:p>
        </w:tc>
      </w:tr>
      <w:tr>
        <w:tc>
          <w:tcPr/>
          <w:p>
            <w:pPr>
              <w:pStyle w:val="Compact"/>
              <w:jc w:val="right"/>
            </w:pPr>
            <w:r>
              <w:t xml:space="preserve">2023</w:t>
            </w:r>
          </w:p>
        </w:tc>
        <w:tc>
          <w:tcPr/>
          <w:p>
            <w:pPr>
              <w:pStyle w:val="Compact"/>
              <w:jc w:val="left"/>
            </w:pPr>
            <w:r>
              <w:t xml:space="preserve">PV23</w:t>
            </w:r>
          </w:p>
        </w:tc>
        <w:tc>
          <w:tcPr/>
          <w:p>
            <w:pPr>
              <w:pStyle w:val="Compact"/>
              <w:jc w:val="left"/>
            </w:pPr>
            <w:r>
              <w:t xml:space="preserve">Overijssel (PV)</w:t>
            </w:r>
          </w:p>
        </w:tc>
        <w:tc>
          <w:tcPr/>
          <w:p>
            <w:pPr>
              <w:pStyle w:val="Compact"/>
              <w:jc w:val="right"/>
            </w:pPr>
            <w:r>
              <w:t xml:space="preserve">325</w:t>
            </w:r>
          </w:p>
        </w:tc>
        <w:tc>
          <w:tcPr/>
          <w:p>
            <w:pPr>
              <w:pStyle w:val="Compact"/>
              <w:jc w:val="right"/>
            </w:pPr>
            <w:r>
              <w:t xml:space="preserve">39.5</w:t>
            </w:r>
          </w:p>
        </w:tc>
        <w:tc>
          <w:tcPr/>
          <w:p>
            <w:pPr>
              <w:pStyle w:val="Compact"/>
              <w:jc w:val="left"/>
            </w:pPr>
            <w:r>
              <w:t xml:space="preserve">PV23</w:t>
            </w:r>
          </w:p>
        </w:tc>
      </w:tr>
      <w:tr>
        <w:tc>
          <w:tcPr/>
          <w:p>
            <w:pPr>
              <w:pStyle w:val="Compact"/>
              <w:jc w:val="right"/>
            </w:pPr>
            <w:r>
              <w:t xml:space="preserve">2023</w:t>
            </w:r>
          </w:p>
        </w:tc>
        <w:tc>
          <w:tcPr/>
          <w:p>
            <w:pPr>
              <w:pStyle w:val="Compact"/>
              <w:jc w:val="left"/>
            </w:pPr>
            <w:r>
              <w:t xml:space="preserve">PV24</w:t>
            </w:r>
          </w:p>
        </w:tc>
        <w:tc>
          <w:tcPr/>
          <w:p>
            <w:pPr>
              <w:pStyle w:val="Compact"/>
              <w:jc w:val="left"/>
            </w:pPr>
            <w:r>
              <w:t xml:space="preserve">Flevoland (PV)</w:t>
            </w:r>
          </w:p>
        </w:tc>
        <w:tc>
          <w:tcPr/>
          <w:p>
            <w:pPr>
              <w:pStyle w:val="Compact"/>
              <w:jc w:val="right"/>
            </w:pPr>
            <w:r>
              <w:t xml:space="preserve">347</w:t>
            </w:r>
          </w:p>
        </w:tc>
        <w:tc>
          <w:tcPr/>
          <w:p>
            <w:pPr>
              <w:pStyle w:val="Compact"/>
              <w:jc w:val="right"/>
            </w:pPr>
            <w:r>
              <w:t xml:space="preserve">40.4</w:t>
            </w:r>
          </w:p>
        </w:tc>
        <w:tc>
          <w:tcPr/>
          <w:p>
            <w:pPr>
              <w:pStyle w:val="Compact"/>
              <w:jc w:val="left"/>
            </w:pPr>
            <w:r>
              <w:t xml:space="preserve">PV24</w:t>
            </w:r>
          </w:p>
        </w:tc>
      </w:tr>
      <w:tr>
        <w:tc>
          <w:tcPr/>
          <w:p>
            <w:pPr>
              <w:pStyle w:val="Compact"/>
              <w:jc w:val="right"/>
            </w:pPr>
            <w:r>
              <w:t xml:space="preserve">2023</w:t>
            </w:r>
          </w:p>
        </w:tc>
        <w:tc>
          <w:tcPr/>
          <w:p>
            <w:pPr>
              <w:pStyle w:val="Compact"/>
              <w:jc w:val="left"/>
            </w:pPr>
            <w:r>
              <w:t xml:space="preserve">PV25</w:t>
            </w:r>
          </w:p>
        </w:tc>
        <w:tc>
          <w:tcPr/>
          <w:p>
            <w:pPr>
              <w:pStyle w:val="Compact"/>
              <w:jc w:val="left"/>
            </w:pPr>
            <w:r>
              <w:t xml:space="preserve">Gelderland (PV)</w:t>
            </w:r>
          </w:p>
        </w:tc>
        <w:tc>
          <w:tcPr/>
          <w:p>
            <w:pPr>
              <w:pStyle w:val="Compact"/>
              <w:jc w:val="right"/>
            </w:pPr>
            <w:r>
              <w:t xml:space="preserve">364</w:t>
            </w:r>
          </w:p>
        </w:tc>
        <w:tc>
          <w:tcPr/>
          <w:p>
            <w:pPr>
              <w:pStyle w:val="Compact"/>
              <w:jc w:val="right"/>
            </w:pPr>
            <w:r>
              <w:t xml:space="preserve">40.6</w:t>
            </w:r>
          </w:p>
        </w:tc>
        <w:tc>
          <w:tcPr/>
          <w:p>
            <w:pPr>
              <w:pStyle w:val="Compact"/>
              <w:jc w:val="left"/>
            </w:pPr>
            <w:r>
              <w:t xml:space="preserve">PV25</w:t>
            </w:r>
          </w:p>
        </w:tc>
      </w:tr>
      <w:tr>
        <w:tc>
          <w:tcPr/>
          <w:p>
            <w:pPr>
              <w:pStyle w:val="Compact"/>
              <w:jc w:val="right"/>
            </w:pPr>
            <w:r>
              <w:t xml:space="preserve">2023</w:t>
            </w:r>
          </w:p>
        </w:tc>
        <w:tc>
          <w:tcPr/>
          <w:p>
            <w:pPr>
              <w:pStyle w:val="Compact"/>
              <w:jc w:val="left"/>
            </w:pPr>
            <w:r>
              <w:t xml:space="preserve">PV26</w:t>
            </w:r>
          </w:p>
        </w:tc>
        <w:tc>
          <w:tcPr/>
          <w:p>
            <w:pPr>
              <w:pStyle w:val="Compact"/>
              <w:jc w:val="left"/>
            </w:pPr>
            <w:r>
              <w:t xml:space="preserve">Utrecht (PV)</w:t>
            </w:r>
          </w:p>
        </w:tc>
        <w:tc>
          <w:tcPr/>
          <w:p>
            <w:pPr>
              <w:pStyle w:val="Compact"/>
              <w:jc w:val="right"/>
            </w:pPr>
            <w:r>
              <w:t xml:space="preserve">447</w:t>
            </w:r>
          </w:p>
        </w:tc>
        <w:tc>
          <w:tcPr/>
          <w:p>
            <w:pPr>
              <w:pStyle w:val="Compact"/>
              <w:jc w:val="right"/>
            </w:pPr>
            <w:r>
              <w:t xml:space="preserve">44.4</w:t>
            </w:r>
          </w:p>
        </w:tc>
        <w:tc>
          <w:tcPr/>
          <w:p>
            <w:pPr>
              <w:pStyle w:val="Compact"/>
              <w:jc w:val="left"/>
            </w:pPr>
            <w:r>
              <w:t xml:space="preserve">PV26</w:t>
            </w:r>
          </w:p>
        </w:tc>
      </w:tr>
      <w:tr>
        <w:tc>
          <w:tcPr/>
          <w:p>
            <w:pPr>
              <w:pStyle w:val="Compact"/>
              <w:jc w:val="right"/>
            </w:pPr>
            <w:r>
              <w:t xml:space="preserve">2023</w:t>
            </w:r>
          </w:p>
        </w:tc>
        <w:tc>
          <w:tcPr/>
          <w:p>
            <w:pPr>
              <w:pStyle w:val="Compact"/>
              <w:jc w:val="left"/>
            </w:pPr>
            <w:r>
              <w:t xml:space="preserve">PV27</w:t>
            </w:r>
          </w:p>
        </w:tc>
        <w:tc>
          <w:tcPr/>
          <w:p>
            <w:pPr>
              <w:pStyle w:val="Compact"/>
              <w:jc w:val="left"/>
            </w:pPr>
            <w:r>
              <w:t xml:space="preserve">Noord-Holland (PV)</w:t>
            </w:r>
          </w:p>
        </w:tc>
        <w:tc>
          <w:tcPr/>
          <w:p>
            <w:pPr>
              <w:pStyle w:val="Compact"/>
              <w:jc w:val="right"/>
            </w:pPr>
            <w:r>
              <w:t xml:space="preserve">460</w:t>
            </w:r>
          </w:p>
        </w:tc>
        <w:tc>
          <w:tcPr/>
          <w:p>
            <w:pPr>
              <w:pStyle w:val="Compact"/>
              <w:jc w:val="right"/>
            </w:pPr>
            <w:r>
              <w:t xml:space="preserve">44.7</w:t>
            </w:r>
          </w:p>
        </w:tc>
        <w:tc>
          <w:tcPr/>
          <w:p>
            <w:pPr>
              <w:pStyle w:val="Compact"/>
              <w:jc w:val="left"/>
            </w:pPr>
            <w:r>
              <w:t xml:space="preserve">PV27</w:t>
            </w:r>
          </w:p>
        </w:tc>
      </w:tr>
      <w:tr>
        <w:tc>
          <w:tcPr/>
          <w:p>
            <w:pPr>
              <w:pStyle w:val="Compact"/>
              <w:jc w:val="right"/>
            </w:pPr>
            <w:r>
              <w:t xml:space="preserve">2023</w:t>
            </w:r>
          </w:p>
        </w:tc>
        <w:tc>
          <w:tcPr/>
          <w:p>
            <w:pPr>
              <w:pStyle w:val="Compact"/>
              <w:jc w:val="left"/>
            </w:pPr>
            <w:r>
              <w:t xml:space="preserve">PV28</w:t>
            </w:r>
          </w:p>
        </w:tc>
        <w:tc>
          <w:tcPr/>
          <w:p>
            <w:pPr>
              <w:pStyle w:val="Compact"/>
              <w:jc w:val="left"/>
            </w:pPr>
            <w:r>
              <w:t xml:space="preserve">Zuid-Holland (PV)</w:t>
            </w:r>
          </w:p>
        </w:tc>
        <w:tc>
          <w:tcPr/>
          <w:p>
            <w:pPr>
              <w:pStyle w:val="Compact"/>
              <w:jc w:val="right"/>
            </w:pPr>
            <w:r>
              <w:t xml:space="preserve">359</w:t>
            </w:r>
          </w:p>
        </w:tc>
        <w:tc>
          <w:tcPr/>
          <w:p>
            <w:pPr>
              <w:pStyle w:val="Compact"/>
              <w:jc w:val="right"/>
            </w:pPr>
            <w:r>
              <w:t xml:space="preserve">42.4</w:t>
            </w:r>
          </w:p>
        </w:tc>
        <w:tc>
          <w:tcPr/>
          <w:p>
            <w:pPr>
              <w:pStyle w:val="Compact"/>
              <w:jc w:val="left"/>
            </w:pPr>
            <w:r>
              <w:t xml:space="preserve">PV28</w:t>
            </w:r>
          </w:p>
        </w:tc>
      </w:tr>
      <w:tr>
        <w:tc>
          <w:tcPr/>
          <w:p>
            <w:pPr>
              <w:pStyle w:val="Compact"/>
              <w:jc w:val="right"/>
            </w:pPr>
            <w:r>
              <w:t xml:space="preserve">2023</w:t>
            </w:r>
          </w:p>
        </w:tc>
        <w:tc>
          <w:tcPr/>
          <w:p>
            <w:pPr>
              <w:pStyle w:val="Compact"/>
              <w:jc w:val="left"/>
            </w:pPr>
            <w:r>
              <w:t xml:space="preserve">PV29</w:t>
            </w:r>
          </w:p>
        </w:tc>
        <w:tc>
          <w:tcPr/>
          <w:p>
            <w:pPr>
              <w:pStyle w:val="Compact"/>
              <w:jc w:val="left"/>
            </w:pPr>
            <w:r>
              <w:t xml:space="preserve">Zeeland (PV)</w:t>
            </w:r>
          </w:p>
        </w:tc>
        <w:tc>
          <w:tcPr/>
          <w:p>
            <w:pPr>
              <w:pStyle w:val="Compact"/>
              <w:jc w:val="right"/>
            </w:pPr>
            <w:r>
              <w:t xml:space="preserve">281</w:t>
            </w:r>
          </w:p>
        </w:tc>
        <w:tc>
          <w:tcPr/>
          <w:p>
            <w:pPr>
              <w:pStyle w:val="Compact"/>
              <w:jc w:val="right"/>
            </w:pPr>
            <w:r>
              <w:t xml:space="preserve">40.3</w:t>
            </w:r>
          </w:p>
        </w:tc>
        <w:tc>
          <w:tcPr/>
          <w:p>
            <w:pPr>
              <w:pStyle w:val="Compact"/>
              <w:jc w:val="left"/>
            </w:pPr>
            <w:r>
              <w:t xml:space="preserve">PV29</w:t>
            </w:r>
          </w:p>
        </w:tc>
      </w:tr>
      <w:tr>
        <w:tc>
          <w:tcPr/>
          <w:p>
            <w:pPr>
              <w:pStyle w:val="Compact"/>
              <w:jc w:val="right"/>
            </w:pPr>
            <w:r>
              <w:t xml:space="preserve">2023</w:t>
            </w:r>
          </w:p>
        </w:tc>
        <w:tc>
          <w:tcPr/>
          <w:p>
            <w:pPr>
              <w:pStyle w:val="Compact"/>
              <w:jc w:val="left"/>
            </w:pPr>
            <w:r>
              <w:t xml:space="preserve">PV30</w:t>
            </w:r>
          </w:p>
        </w:tc>
        <w:tc>
          <w:tcPr/>
          <w:p>
            <w:pPr>
              <w:pStyle w:val="Compact"/>
              <w:jc w:val="left"/>
            </w:pPr>
            <w:r>
              <w:t xml:space="preserve">Noord-Brabant (PV)</w:t>
            </w:r>
          </w:p>
        </w:tc>
        <w:tc>
          <w:tcPr/>
          <w:p>
            <w:pPr>
              <w:pStyle w:val="Compact"/>
              <w:jc w:val="right"/>
            </w:pPr>
            <w:r>
              <w:t xml:space="preserve">370</w:t>
            </w:r>
          </w:p>
        </w:tc>
        <w:tc>
          <w:tcPr/>
          <w:p>
            <w:pPr>
              <w:pStyle w:val="Compact"/>
              <w:jc w:val="right"/>
            </w:pPr>
            <w:r>
              <w:t xml:space="preserve">41.8</w:t>
            </w:r>
          </w:p>
        </w:tc>
        <w:tc>
          <w:tcPr/>
          <w:p>
            <w:pPr>
              <w:pStyle w:val="Compact"/>
              <w:jc w:val="left"/>
            </w:pPr>
            <w:r>
              <w:t xml:space="preserve">PV30</w:t>
            </w:r>
          </w:p>
        </w:tc>
      </w:tr>
      <w:tr>
        <w:tc>
          <w:tcPr/>
          <w:p>
            <w:pPr>
              <w:pStyle w:val="Compact"/>
              <w:jc w:val="right"/>
            </w:pPr>
            <w:r>
              <w:t xml:space="preserve">2023</w:t>
            </w:r>
          </w:p>
        </w:tc>
        <w:tc>
          <w:tcPr/>
          <w:p>
            <w:pPr>
              <w:pStyle w:val="Compact"/>
              <w:jc w:val="left"/>
            </w:pPr>
            <w:r>
              <w:t xml:space="preserve">PV31</w:t>
            </w:r>
          </w:p>
        </w:tc>
        <w:tc>
          <w:tcPr/>
          <w:p>
            <w:pPr>
              <w:pStyle w:val="Compact"/>
              <w:jc w:val="left"/>
            </w:pPr>
            <w:r>
              <w:t xml:space="preserve">Limburg (PV)</w:t>
            </w:r>
          </w:p>
        </w:tc>
        <w:tc>
          <w:tcPr/>
          <w:p>
            <w:pPr>
              <w:pStyle w:val="Compact"/>
              <w:jc w:val="right"/>
            </w:pPr>
            <w:r>
              <w:t xml:space="preserve">288</w:t>
            </w:r>
          </w:p>
        </w:tc>
        <w:tc>
          <w:tcPr/>
          <w:p>
            <w:pPr>
              <w:pStyle w:val="Compact"/>
              <w:jc w:val="right"/>
            </w:pPr>
            <w:r>
              <w:t xml:space="preserve">39.9</w:t>
            </w:r>
          </w:p>
        </w:tc>
        <w:tc>
          <w:tcPr/>
          <w:p>
            <w:pPr>
              <w:pStyle w:val="Compact"/>
              <w:jc w:val="left"/>
            </w:pPr>
            <w:r>
              <w:t xml:space="preserve">PV31</w:t>
            </w:r>
          </w:p>
        </w:tc>
      </w:tr>
    </w:tbl>
    <w:p/>
    <w:p>
      <w:pPr>
        <w:pStyle w:val="TableCaption"/>
      </w:pPr>
      <w:r>
        <w:t xml:space="preserve">Descriptive statistics for home value in provinces in the Netherlands, 2023</w:t>
      </w:r>
    </w:p>
    <w:tbl>
      <w:tblPr>
        <w:tblStyle w:val="Table"/>
        <w:tblW w:type="auto" w:w="0"/>
        <w:tblLook w:firstRow="1" w:lastRow="0" w:firstColumn="0" w:lastColumn="0" w:noHBand="0" w:noVBand="0" w:val="0020"/>
        <w:tblCaption w:val="Descriptive statistics for home value in provinces in the Netherlands, 2023"/>
      </w:tblPr>
      <w:tblGrid>
        <w:gridCol w:w="1980"/>
        <w:gridCol w:w="1980"/>
        <w:gridCol w:w="1980"/>
        <w:gridCol w:w="1980"/>
      </w:tblGrid>
      <w:tr>
        <w:trPr>
          <w:tblHeader w:val="on"/>
        </w:trPr>
        <w:tc>
          <w:tcPr/>
          <w:p>
            <w:pPr>
              <w:pStyle w:val="Compact"/>
              <w:jc w:val="right"/>
            </w:pPr>
            <w:r>
              <w:t xml:space="preserve">Year</w:t>
            </w:r>
          </w:p>
        </w:tc>
        <w:tc>
          <w:tcPr/>
          <w:p>
            <w:pPr>
              <w:pStyle w:val="Compact"/>
              <w:jc w:val="left"/>
            </w:pPr>
            <w:r>
              <w:t xml:space="preserve">RegioS_label</w:t>
            </w:r>
          </w:p>
        </w:tc>
        <w:tc>
          <w:tcPr/>
          <w:p>
            <w:pPr>
              <w:pStyle w:val="Compact"/>
              <w:jc w:val="right"/>
            </w:pPr>
            <w:r>
              <w:t xml:space="preserve">InkomenWerknemer</w:t>
            </w:r>
          </w:p>
        </w:tc>
        <w:tc>
          <w:tcPr/>
          <w:p>
            <w:pPr>
              <w:pStyle w:val="Compact"/>
              <w:jc w:val="right"/>
            </w:pPr>
            <w:r>
              <w:t xml:space="preserve">GemiddeldeWOZ</w:t>
            </w:r>
          </w:p>
        </w:tc>
      </w:tr>
      <w:tr>
        <w:tc>
          <w:tcPr/>
          <w:p>
            <w:pPr>
              <w:pStyle w:val="Compact"/>
              <w:jc w:val="right"/>
            </w:pPr>
            <w:r>
              <w:t xml:space="preserve">2015</w:t>
            </w:r>
          </w:p>
        </w:tc>
        <w:tc>
          <w:tcPr/>
          <w:p>
            <w:pPr>
              <w:pStyle w:val="Compact"/>
              <w:jc w:val="left"/>
            </w:pPr>
            <w:r>
              <w:t xml:space="preserve">Nederland</w:t>
            </w:r>
          </w:p>
        </w:tc>
        <w:tc>
          <w:tcPr/>
          <w:p>
            <w:pPr>
              <w:pStyle w:val="Compact"/>
              <w:jc w:val="right"/>
            </w:pPr>
            <w:r>
              <w:t xml:space="preserve">30.3</w:t>
            </w:r>
          </w:p>
        </w:tc>
        <w:tc>
          <w:tcPr/>
          <w:p>
            <w:pPr>
              <w:pStyle w:val="Compact"/>
              <w:jc w:val="right"/>
            </w:pPr>
            <w:r>
              <w:t xml:space="preserve">206</w:t>
            </w:r>
          </w:p>
        </w:tc>
      </w:tr>
      <w:tr>
        <w:tc>
          <w:tcPr/>
          <w:p>
            <w:pPr>
              <w:pStyle w:val="Compact"/>
              <w:jc w:val="right"/>
            </w:pPr>
            <w:r>
              <w:t xml:space="preserve">2016</w:t>
            </w:r>
          </w:p>
        </w:tc>
        <w:tc>
          <w:tcPr/>
          <w:p>
            <w:pPr>
              <w:pStyle w:val="Compact"/>
              <w:jc w:val="left"/>
            </w:pPr>
            <w:r>
              <w:t xml:space="preserve">Nederland</w:t>
            </w:r>
          </w:p>
        </w:tc>
        <w:tc>
          <w:tcPr/>
          <w:p>
            <w:pPr>
              <w:pStyle w:val="Compact"/>
              <w:jc w:val="right"/>
            </w:pPr>
            <w:r>
              <w:t xml:space="preserve">31.4</w:t>
            </w:r>
          </w:p>
        </w:tc>
        <w:tc>
          <w:tcPr/>
          <w:p>
            <w:pPr>
              <w:pStyle w:val="Compact"/>
              <w:jc w:val="right"/>
            </w:pPr>
            <w:r>
              <w:t xml:space="preserve">208</w:t>
            </w:r>
          </w:p>
        </w:tc>
      </w:tr>
      <w:tr>
        <w:tc>
          <w:tcPr/>
          <w:p>
            <w:pPr>
              <w:pStyle w:val="Compact"/>
              <w:jc w:val="right"/>
            </w:pPr>
            <w:r>
              <w:t xml:space="preserve">2017</w:t>
            </w:r>
          </w:p>
        </w:tc>
        <w:tc>
          <w:tcPr/>
          <w:p>
            <w:pPr>
              <w:pStyle w:val="Compact"/>
              <w:jc w:val="left"/>
            </w:pPr>
            <w:r>
              <w:t xml:space="preserve">Nederland</w:t>
            </w:r>
          </w:p>
        </w:tc>
        <w:tc>
          <w:tcPr/>
          <w:p>
            <w:pPr>
              <w:pStyle w:val="Compact"/>
              <w:jc w:val="right"/>
            </w:pPr>
            <w:r>
              <w:t xml:space="preserve">32.0</w:t>
            </w:r>
          </w:p>
        </w:tc>
        <w:tc>
          <w:tcPr/>
          <w:p>
            <w:pPr>
              <w:pStyle w:val="Compact"/>
              <w:jc w:val="right"/>
            </w:pPr>
            <w:r>
              <w:t xml:space="preserve">217</w:t>
            </w:r>
          </w:p>
        </w:tc>
      </w:tr>
      <w:tr>
        <w:tc>
          <w:tcPr/>
          <w:p>
            <w:pPr>
              <w:pStyle w:val="Compact"/>
              <w:jc w:val="right"/>
            </w:pPr>
            <w:r>
              <w:t xml:space="preserve">2018</w:t>
            </w:r>
          </w:p>
        </w:tc>
        <w:tc>
          <w:tcPr/>
          <w:p>
            <w:pPr>
              <w:pStyle w:val="Compact"/>
              <w:jc w:val="left"/>
            </w:pPr>
            <w:r>
              <w:t xml:space="preserve">Nederland</w:t>
            </w:r>
          </w:p>
        </w:tc>
        <w:tc>
          <w:tcPr/>
          <w:p>
            <w:pPr>
              <w:pStyle w:val="Compact"/>
              <w:jc w:val="right"/>
            </w:pPr>
            <w:r>
              <w:t xml:space="preserve">32.3</w:t>
            </w:r>
          </w:p>
        </w:tc>
        <w:tc>
          <w:tcPr/>
          <w:p>
            <w:pPr>
              <w:pStyle w:val="Compact"/>
              <w:jc w:val="right"/>
            </w:pPr>
            <w:r>
              <w:t xml:space="preserve">230</w:t>
            </w:r>
          </w:p>
        </w:tc>
      </w:tr>
      <w:tr>
        <w:tc>
          <w:tcPr/>
          <w:p>
            <w:pPr>
              <w:pStyle w:val="Compact"/>
              <w:jc w:val="right"/>
            </w:pPr>
            <w:r>
              <w:t xml:space="preserve">2019</w:t>
            </w:r>
          </w:p>
        </w:tc>
        <w:tc>
          <w:tcPr/>
          <w:p>
            <w:pPr>
              <w:pStyle w:val="Compact"/>
              <w:jc w:val="left"/>
            </w:pPr>
            <w:r>
              <w:t xml:space="preserve">Nederland</w:t>
            </w:r>
          </w:p>
        </w:tc>
        <w:tc>
          <w:tcPr/>
          <w:p>
            <w:pPr>
              <w:pStyle w:val="Compact"/>
              <w:jc w:val="right"/>
            </w:pPr>
            <w:r>
              <w:t xml:space="preserve">33.7</w:t>
            </w:r>
          </w:p>
        </w:tc>
        <w:tc>
          <w:tcPr/>
          <w:p>
            <w:pPr>
              <w:pStyle w:val="Compact"/>
              <w:jc w:val="right"/>
            </w:pPr>
            <w:r>
              <w:t xml:space="preserve">250</w:t>
            </w:r>
          </w:p>
        </w:tc>
      </w:tr>
      <w:tr>
        <w:tc>
          <w:tcPr/>
          <w:p>
            <w:pPr>
              <w:pStyle w:val="Compact"/>
              <w:jc w:val="right"/>
            </w:pPr>
            <w:r>
              <w:t xml:space="preserve">2020</w:t>
            </w:r>
          </w:p>
        </w:tc>
        <w:tc>
          <w:tcPr/>
          <w:p>
            <w:pPr>
              <w:pStyle w:val="Compact"/>
              <w:jc w:val="left"/>
            </w:pPr>
            <w:r>
              <w:t xml:space="preserve">Nederland</w:t>
            </w:r>
          </w:p>
        </w:tc>
        <w:tc>
          <w:tcPr/>
          <w:p>
            <w:pPr>
              <w:pStyle w:val="Compact"/>
              <w:jc w:val="right"/>
            </w:pPr>
            <w:r>
              <w:t xml:space="preserve">35.3</w:t>
            </w:r>
          </w:p>
        </w:tc>
        <w:tc>
          <w:tcPr/>
          <w:p>
            <w:pPr>
              <w:pStyle w:val="Compact"/>
              <w:jc w:val="right"/>
            </w:pPr>
            <w:r>
              <w:t xml:space="preserve">271</w:t>
            </w:r>
          </w:p>
        </w:tc>
      </w:tr>
      <w:tr>
        <w:tc>
          <w:tcPr/>
          <w:p>
            <w:pPr>
              <w:pStyle w:val="Compact"/>
              <w:jc w:val="right"/>
            </w:pPr>
            <w:r>
              <w:t xml:space="preserve">2021</w:t>
            </w:r>
          </w:p>
        </w:tc>
        <w:tc>
          <w:tcPr/>
          <w:p>
            <w:pPr>
              <w:pStyle w:val="Compact"/>
              <w:jc w:val="left"/>
            </w:pPr>
            <w:r>
              <w:t xml:space="preserve">Nederland</w:t>
            </w:r>
          </w:p>
        </w:tc>
        <w:tc>
          <w:tcPr/>
          <w:p>
            <w:pPr>
              <w:pStyle w:val="Compact"/>
              <w:jc w:val="right"/>
            </w:pPr>
            <w:r>
              <w:t xml:space="preserve">37.1</w:t>
            </w:r>
          </w:p>
        </w:tc>
        <w:tc>
          <w:tcPr/>
          <w:p>
            <w:pPr>
              <w:pStyle w:val="Compact"/>
              <w:jc w:val="right"/>
            </w:pPr>
            <w:r>
              <w:t xml:space="preserve">290</w:t>
            </w:r>
          </w:p>
        </w:tc>
      </w:tr>
      <w:tr>
        <w:tc>
          <w:tcPr/>
          <w:p>
            <w:pPr>
              <w:pStyle w:val="Compact"/>
              <w:jc w:val="right"/>
            </w:pPr>
            <w:r>
              <w:t xml:space="preserve">2022</w:t>
            </w:r>
          </w:p>
        </w:tc>
        <w:tc>
          <w:tcPr/>
          <w:p>
            <w:pPr>
              <w:pStyle w:val="Compact"/>
              <w:jc w:val="left"/>
            </w:pPr>
            <w:r>
              <w:t xml:space="preserve">Nederland</w:t>
            </w:r>
          </w:p>
        </w:tc>
        <w:tc>
          <w:tcPr/>
          <w:p>
            <w:pPr>
              <w:pStyle w:val="Compact"/>
              <w:jc w:val="right"/>
            </w:pPr>
            <w:r>
              <w:t xml:space="preserve">39.0</w:t>
            </w:r>
          </w:p>
        </w:tc>
        <w:tc>
          <w:tcPr/>
          <w:p>
            <w:pPr>
              <w:pStyle w:val="Compact"/>
              <w:jc w:val="right"/>
            </w:pPr>
            <w:r>
              <w:t xml:space="preserve">317</w:t>
            </w:r>
          </w:p>
        </w:tc>
      </w:tr>
      <w:tr>
        <w:tc>
          <w:tcPr/>
          <w:p>
            <w:pPr>
              <w:pStyle w:val="Compact"/>
              <w:jc w:val="right"/>
            </w:pPr>
            <w:r>
              <w:t xml:space="preserve">2023</w:t>
            </w:r>
          </w:p>
        </w:tc>
        <w:tc>
          <w:tcPr/>
          <w:p>
            <w:pPr>
              <w:pStyle w:val="Compact"/>
              <w:jc w:val="left"/>
            </w:pPr>
            <w:r>
              <w:t xml:space="preserve">Nederland</w:t>
            </w:r>
          </w:p>
        </w:tc>
        <w:tc>
          <w:tcPr/>
          <w:p>
            <w:pPr>
              <w:pStyle w:val="Compact"/>
              <w:jc w:val="right"/>
            </w:pPr>
            <w:r>
              <w:t xml:space="preserve">41.8</w:t>
            </w:r>
          </w:p>
        </w:tc>
        <w:tc>
          <w:tcPr/>
          <w:p>
            <w:pPr>
              <w:pStyle w:val="Compact"/>
              <w:jc w:val="right"/>
            </w:pPr>
            <w:r>
              <w:t xml:space="preserve">368</w:t>
            </w:r>
          </w:p>
        </w:tc>
      </w:tr>
      <w:tr>
        <w:tc>
          <w:tcPr/>
          <w:p>
            <w:pPr>
              <w:pStyle w:val="Compact"/>
              <w:jc w:val="right"/>
            </w:pPr>
            <w:r>
              <w:t xml:space="preserve">2024</w:t>
            </w:r>
          </w:p>
        </w:tc>
        <w:tc>
          <w:tcPr/>
          <w:p>
            <w:pPr>
              <w:pStyle w:val="Compact"/>
              <w:jc w:val="left"/>
            </w:pPr>
            <w:r>
              <w:t xml:space="preserve">Nederland</w:t>
            </w:r>
          </w:p>
        </w:tc>
        <w:tc>
          <w:tcPr/>
          <w:p>
            <w:pPr>
              <w:pStyle w:val="Compact"/>
              <w:jc w:val="right"/>
            </w:pPr>
            <w:r>
              <w:t xml:space="preserve">44.7</w:t>
            </w:r>
          </w:p>
        </w:tc>
        <w:tc>
          <w:tcPr/>
          <w:p>
            <w:pPr>
              <w:pStyle w:val="Compact"/>
              <w:jc w:val="right"/>
            </w:pPr>
            <w:r>
              <w:t xml:space="preserve">378</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Variable</w:t>
            </w:r>
          </w:p>
        </w:tc>
        <w:tc>
          <w:tcPr/>
          <w:p>
            <w:pPr>
              <w:pStyle w:val="Compact"/>
              <w:jc w:val="right"/>
            </w:pPr>
            <w:r>
              <w:t xml:space="preserve">Mean</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SD</w:t>
            </w:r>
          </w:p>
        </w:tc>
      </w:tr>
      <w:tr>
        <w:tc>
          <w:tcPr/>
          <w:p>
            <w:pPr>
              <w:pStyle w:val="Compact"/>
              <w:jc w:val="left"/>
            </w:pPr>
            <w:r>
              <w:t xml:space="preserve">Average WOZ Value</w:t>
            </w:r>
          </w:p>
        </w:tc>
        <w:tc>
          <w:tcPr/>
          <w:p>
            <w:pPr>
              <w:pStyle w:val="Compact"/>
              <w:jc w:val="right"/>
            </w:pPr>
            <w:r>
              <w:t xml:space="preserve">340.00</w:t>
            </w:r>
          </w:p>
        </w:tc>
        <w:tc>
          <w:tcPr/>
          <w:p>
            <w:pPr>
              <w:pStyle w:val="Compact"/>
              <w:jc w:val="right"/>
            </w:pPr>
            <w:r>
              <w:t xml:space="preserve">268.0</w:t>
            </w:r>
          </w:p>
        </w:tc>
        <w:tc>
          <w:tcPr/>
          <w:p>
            <w:pPr>
              <w:pStyle w:val="Compact"/>
              <w:jc w:val="right"/>
            </w:pPr>
            <w:r>
              <w:t xml:space="preserve">460.0</w:t>
            </w:r>
          </w:p>
        </w:tc>
        <w:tc>
          <w:tcPr/>
          <w:p>
            <w:pPr>
              <w:pStyle w:val="Compact"/>
              <w:jc w:val="right"/>
            </w:pPr>
            <w:r>
              <w:t xml:space="preserve">64.25</w:t>
            </w:r>
          </w:p>
        </w:tc>
      </w:tr>
      <w:tr>
        <w:tc>
          <w:tcPr/>
          <w:p>
            <w:pPr>
              <w:pStyle w:val="Compact"/>
              <w:jc w:val="left"/>
            </w:pPr>
            <w:r>
              <w:t xml:space="preserve">Employee Income</w:t>
            </w:r>
          </w:p>
        </w:tc>
        <w:tc>
          <w:tcPr/>
          <w:p>
            <w:pPr>
              <w:pStyle w:val="Compact"/>
              <w:jc w:val="right"/>
            </w:pPr>
            <w:r>
              <w:t xml:space="preserve">40.76</w:t>
            </w:r>
          </w:p>
        </w:tc>
        <w:tc>
          <w:tcPr/>
          <w:p>
            <w:pPr>
              <w:pStyle w:val="Compact"/>
              <w:jc w:val="right"/>
            </w:pPr>
            <w:r>
              <w:t xml:space="preserve">37.5</w:t>
            </w:r>
          </w:p>
        </w:tc>
        <w:tc>
          <w:tcPr/>
          <w:p>
            <w:pPr>
              <w:pStyle w:val="Compact"/>
              <w:jc w:val="right"/>
            </w:pPr>
            <w:r>
              <w:t xml:space="preserve">44.7</w:t>
            </w:r>
          </w:p>
        </w:tc>
        <w:tc>
          <w:tcPr/>
          <w:p>
            <w:pPr>
              <w:pStyle w:val="Compact"/>
              <w:jc w:val="right"/>
            </w:pPr>
            <w:r>
              <w:t xml:space="preserve">2.24</w:t>
            </w:r>
          </w:p>
        </w:tc>
      </w:tr>
    </w:tbl>
    <w:bookmarkEnd w:id="15"/>
    <w:bookmarkStart w:id="16" w:name="describe-the-type-of-variables-included"/>
    <w:p>
      <w:pPr>
        <w:pStyle w:val="Heading2"/>
      </w:pPr>
      <w:r>
        <w:t xml:space="preserve">2.3 Describe the type of variables included</w:t>
      </w:r>
    </w:p>
    <w:p>
      <w:pPr>
        <w:pStyle w:val="FirstParagraph"/>
      </w:pPr>
      <w:r>
        <w:t xml:space="preserve">The variabeles included in this study predominantly capture Socio-Economic Status (SES) and housing market characteristics. The key indicators can be broken down into three main categories:</w:t>
      </w:r>
      <w:r>
        <w:t xml:space="preserve"> </w:t>
      </w:r>
      <w:r>
        <w:t xml:space="preserve">1. SES metrics: Disposable income per employee serves as our primary continuous of household financial capacity.</w:t>
      </w:r>
      <w:r>
        <w:t xml:space="preserve"> </w:t>
      </w:r>
      <w:r>
        <w:t xml:space="preserve">2. Market metrics: The WOZ property value represents the offical appraised market valuation of residental real estate over time.</w:t>
      </w:r>
      <w:r>
        <w:t xml:space="preserve"> </w:t>
      </w:r>
      <w:r>
        <w:t xml:space="preserve">3. Demographic metrics: The use of regions and urbanization levels allow for granular sub-group analysis.</w:t>
      </w:r>
    </w:p>
    <w:p>
      <w:pPr>
        <w:pStyle w:val="BodyText"/>
      </w:pPr>
      <w:r>
        <w:t xml:space="preserve">Rather than being collected through self-supported individual interviews or surveys, this dataset consist entirely of administrative data collected by Statistics Netherland (CBS). The income and demographic data originate directly from national municipal registries (BRP) and tax authority records, while the housing data is compiled from the national valuation registry (Landelijke Voorziening WOZ).Because this data relies on offical administrative registration rather than sample surveys, it minimizes self-reporting bias and provides comprehensive coverage of the target populations.</w:t>
      </w:r>
    </w:p>
    <w:bookmarkEnd w:id="16"/>
    <w:bookmarkEnd w:id="17"/>
    <w:bookmarkStart w:id="36" w:name="part-3---quantifying"/>
    <w:p>
      <w:pPr>
        <w:pStyle w:val="Heading1"/>
      </w:pPr>
      <w:r>
        <w:t xml:space="preserve">Part 3 - Quantifying</w:t>
      </w:r>
    </w:p>
    <w:bookmarkStart w:id="18" w:name="data-cleaning"/>
    <w:p>
      <w:pPr>
        <w:pStyle w:val="Heading2"/>
      </w:pPr>
      <w:r>
        <w:t xml:space="preserve">3.1 Data cleaning</w:t>
      </w:r>
    </w:p>
    <w:p>
      <w:pPr>
        <w:pStyle w:val="FirstParagraph"/>
      </w:pPr>
      <w:r>
        <w:t xml:space="preserve">To prepare our data for quantitative analysis, we executed several structured cleaning steps. First, provincial location data was originally recorded in numerical codes. We mapped and translated these administrative codes into their respective official Dutch province names. Second, we systematically handled missing values (</w:t>
      </w:r>
      <m:oMath>
        <m:r>
          <m:t>N</m:t>
        </m:r>
        <m:r>
          <m:t>A</m:t>
        </m:r>
        <m:r>
          <m:t>s</m:t>
        </m:r>
      </m:oMath>
      <w:r>
        <w:t xml:space="preserve">). To safeguard the statistical integrity of our analysis, we selected a time period that is relevant and without any missing values (</w:t>
      </w:r>
      <m:oMath>
        <m:r>
          <m:t>N</m:t>
        </m:r>
        <m:r>
          <m:t>A</m:t>
        </m:r>
        <m:r>
          <m:t>s</m:t>
        </m:r>
      </m:oMath>
      <w:r>
        <w:t xml:space="preserve">) at other variables.</w:t>
      </w:r>
    </w:p>
    <w:bookmarkEnd w:id="18"/>
    <w:bookmarkStart w:id="19" w:name="generate-necessary-variables"/>
    <w:p>
      <w:pPr>
        <w:pStyle w:val="Heading2"/>
      </w:pPr>
      <w:r>
        <w:t xml:space="preserve">3.2 Generate necessary variables</w:t>
      </w:r>
    </w:p>
    <w:p>
      <w:pPr>
        <w:pStyle w:val="FirstParagraph"/>
      </w:pPr>
      <w:r>
        <w:t xml:space="preserve">The affordability ratio divides the average WOZ value of homes by average employee income. Because both variables are measured in thousands of euros, the ratio can be interpreted as how many times the income of a worker corresponds to their house value, on average. A higher ratio indicates lower affordability.</w:t>
      </w:r>
    </w:p>
    <w:tbl>
      <w:tblPr>
        <w:tblStyle w:val="Table"/>
        <w:tblW w:type="pct" w:w="5000"/>
        <w:tblLayout w:type="fixed"/>
        <w:tblLook w:firstRow="1" w:lastRow="0" w:firstColumn="0" w:lastColumn="0" w:noHBand="0" w:noVBand="0" w:val="0020"/>
      </w:tblPr>
      <w:tblGrid>
        <w:gridCol w:w="440"/>
        <w:gridCol w:w="616"/>
        <w:gridCol w:w="1672"/>
        <w:gridCol w:w="1232"/>
        <w:gridCol w:w="1496"/>
        <w:gridCol w:w="792"/>
        <w:gridCol w:w="1672"/>
      </w:tblGrid>
      <w:tr>
        <w:trPr>
          <w:tblHeader w:val="on"/>
        </w:trPr>
        <w:tc>
          <w:tcPr/>
          <w:p>
            <w:pPr>
              <w:pStyle w:val="Compact"/>
              <w:jc w:val="right"/>
            </w:pPr>
            <w:r>
              <w:t xml:space="preserve">Year</w:t>
            </w:r>
          </w:p>
        </w:tc>
        <w:tc>
          <w:tcPr/>
          <w:p>
            <w:pPr>
              <w:pStyle w:val="Compact"/>
              <w:jc w:val="left"/>
            </w:pPr>
            <w:r>
              <w:t xml:space="preserve">RegioS</w:t>
            </w:r>
          </w:p>
        </w:tc>
        <w:tc>
          <w:tcPr/>
          <w:p>
            <w:pPr>
              <w:pStyle w:val="Compact"/>
              <w:jc w:val="left"/>
            </w:pPr>
            <w:r>
              <w:t xml:space="preserve">RegioS_label</w:t>
            </w:r>
          </w:p>
        </w:tc>
        <w:tc>
          <w:tcPr/>
          <w:p>
            <w:pPr>
              <w:pStyle w:val="Compact"/>
              <w:jc w:val="right"/>
            </w:pPr>
            <w:r>
              <w:t xml:space="preserve">GemiddeldeWOZ</w:t>
            </w:r>
          </w:p>
        </w:tc>
        <w:tc>
          <w:tcPr/>
          <w:p>
            <w:pPr>
              <w:pStyle w:val="Compact"/>
              <w:jc w:val="right"/>
            </w:pPr>
            <w:r>
              <w:t xml:space="preserve">InkomenWerknemer</w:t>
            </w:r>
          </w:p>
        </w:tc>
        <w:tc>
          <w:tcPr/>
          <w:p>
            <w:pPr>
              <w:pStyle w:val="Compact"/>
              <w:jc w:val="left"/>
            </w:pPr>
            <w:r>
              <w:t xml:space="preserve">statcode</w:t>
            </w:r>
          </w:p>
        </w:tc>
        <w:tc>
          <w:tcPr/>
          <w:p>
            <w:pPr>
              <w:pStyle w:val="Compact"/>
              <w:jc w:val="right"/>
            </w:pPr>
            <w:r>
              <w:t xml:space="preserve">AffordabilityRatio</w:t>
            </w:r>
          </w:p>
        </w:tc>
      </w:tr>
      <w:tr>
        <w:tc>
          <w:tcPr/>
          <w:p>
            <w:pPr>
              <w:pStyle w:val="Compact"/>
              <w:jc w:val="right"/>
            </w:pPr>
            <w:r>
              <w:t xml:space="preserve">2023</w:t>
            </w:r>
          </w:p>
        </w:tc>
        <w:tc>
          <w:tcPr/>
          <w:p>
            <w:pPr>
              <w:pStyle w:val="Compact"/>
              <w:jc w:val="left"/>
            </w:pPr>
            <w:r>
              <w:t xml:space="preserve">PV20</w:t>
            </w:r>
          </w:p>
        </w:tc>
        <w:tc>
          <w:tcPr/>
          <w:p>
            <w:pPr>
              <w:pStyle w:val="Compact"/>
              <w:jc w:val="left"/>
            </w:pPr>
            <w:r>
              <w:t xml:space="preserve">Groningen (PV)</w:t>
            </w:r>
          </w:p>
        </w:tc>
        <w:tc>
          <w:tcPr/>
          <w:p>
            <w:pPr>
              <w:pStyle w:val="Compact"/>
              <w:jc w:val="right"/>
            </w:pPr>
            <w:r>
              <w:t xml:space="preserve">268</w:t>
            </w:r>
          </w:p>
        </w:tc>
        <w:tc>
          <w:tcPr/>
          <w:p>
            <w:pPr>
              <w:pStyle w:val="Compact"/>
              <w:jc w:val="right"/>
            </w:pPr>
            <w:r>
              <w:t xml:space="preserve">37.5</w:t>
            </w:r>
          </w:p>
        </w:tc>
        <w:tc>
          <w:tcPr/>
          <w:p>
            <w:pPr>
              <w:pStyle w:val="Compact"/>
              <w:jc w:val="left"/>
            </w:pPr>
            <w:r>
              <w:t xml:space="preserve">PV20</w:t>
            </w:r>
          </w:p>
        </w:tc>
        <w:tc>
          <w:tcPr/>
          <w:p>
            <w:pPr>
              <w:pStyle w:val="Compact"/>
              <w:jc w:val="right"/>
            </w:pPr>
            <w:r>
              <w:t xml:space="preserve">7.146667</w:t>
            </w:r>
          </w:p>
        </w:tc>
      </w:tr>
      <w:tr>
        <w:tc>
          <w:tcPr/>
          <w:p>
            <w:pPr>
              <w:pStyle w:val="Compact"/>
              <w:jc w:val="right"/>
            </w:pPr>
            <w:r>
              <w:t xml:space="preserve">2023</w:t>
            </w:r>
          </w:p>
        </w:tc>
        <w:tc>
          <w:tcPr/>
          <w:p>
            <w:pPr>
              <w:pStyle w:val="Compact"/>
              <w:jc w:val="left"/>
            </w:pPr>
            <w:r>
              <w:t xml:space="preserve">PV21</w:t>
            </w:r>
          </w:p>
        </w:tc>
        <w:tc>
          <w:tcPr/>
          <w:p>
            <w:pPr>
              <w:pStyle w:val="Compact"/>
              <w:jc w:val="left"/>
            </w:pPr>
            <w:r>
              <w:t xml:space="preserve">Fryslân (PV)</w:t>
            </w:r>
          </w:p>
        </w:tc>
        <w:tc>
          <w:tcPr/>
          <w:p>
            <w:pPr>
              <w:pStyle w:val="Compact"/>
              <w:jc w:val="right"/>
            </w:pPr>
            <w:r>
              <w:t xml:space="preserve">277</w:t>
            </w:r>
          </w:p>
        </w:tc>
        <w:tc>
          <w:tcPr/>
          <w:p>
            <w:pPr>
              <w:pStyle w:val="Compact"/>
              <w:jc w:val="right"/>
            </w:pPr>
            <w:r>
              <w:t xml:space="preserve">37.9</w:t>
            </w:r>
          </w:p>
        </w:tc>
        <w:tc>
          <w:tcPr/>
          <w:p>
            <w:pPr>
              <w:pStyle w:val="Compact"/>
              <w:jc w:val="left"/>
            </w:pPr>
            <w:r>
              <w:t xml:space="preserve">PV21</w:t>
            </w:r>
          </w:p>
        </w:tc>
        <w:tc>
          <w:tcPr/>
          <w:p>
            <w:pPr>
              <w:pStyle w:val="Compact"/>
              <w:jc w:val="right"/>
            </w:pPr>
            <w:r>
              <w:t xml:space="preserve">7.308707</w:t>
            </w:r>
          </w:p>
        </w:tc>
      </w:tr>
      <w:tr>
        <w:tc>
          <w:tcPr/>
          <w:p>
            <w:pPr>
              <w:pStyle w:val="Compact"/>
              <w:jc w:val="right"/>
            </w:pPr>
            <w:r>
              <w:t xml:space="preserve">2023</w:t>
            </w:r>
          </w:p>
        </w:tc>
        <w:tc>
          <w:tcPr/>
          <w:p>
            <w:pPr>
              <w:pStyle w:val="Compact"/>
              <w:jc w:val="left"/>
            </w:pPr>
            <w:r>
              <w:t xml:space="preserve">PV22</w:t>
            </w:r>
          </w:p>
        </w:tc>
        <w:tc>
          <w:tcPr/>
          <w:p>
            <w:pPr>
              <w:pStyle w:val="Compact"/>
              <w:jc w:val="left"/>
            </w:pPr>
            <w:r>
              <w:t xml:space="preserve">Drenthe (PV)</w:t>
            </w:r>
          </w:p>
        </w:tc>
        <w:tc>
          <w:tcPr/>
          <w:p>
            <w:pPr>
              <w:pStyle w:val="Compact"/>
              <w:jc w:val="right"/>
            </w:pPr>
            <w:r>
              <w:t xml:space="preserve">294</w:t>
            </w:r>
          </w:p>
        </w:tc>
        <w:tc>
          <w:tcPr/>
          <w:p>
            <w:pPr>
              <w:pStyle w:val="Compact"/>
              <w:jc w:val="right"/>
            </w:pPr>
            <w:r>
              <w:t xml:space="preserve">39.7</w:t>
            </w:r>
          </w:p>
        </w:tc>
        <w:tc>
          <w:tcPr/>
          <w:p>
            <w:pPr>
              <w:pStyle w:val="Compact"/>
              <w:jc w:val="left"/>
            </w:pPr>
            <w:r>
              <w:t xml:space="preserve">PV22</w:t>
            </w:r>
          </w:p>
        </w:tc>
        <w:tc>
          <w:tcPr/>
          <w:p>
            <w:pPr>
              <w:pStyle w:val="Compact"/>
              <w:jc w:val="right"/>
            </w:pPr>
            <w:r>
              <w:t xml:space="preserve">7.405542</w:t>
            </w:r>
          </w:p>
        </w:tc>
      </w:tr>
      <w:tr>
        <w:tc>
          <w:tcPr/>
          <w:p>
            <w:pPr>
              <w:pStyle w:val="Compact"/>
              <w:jc w:val="right"/>
            </w:pPr>
            <w:r>
              <w:t xml:space="preserve">2023</w:t>
            </w:r>
          </w:p>
        </w:tc>
        <w:tc>
          <w:tcPr/>
          <w:p>
            <w:pPr>
              <w:pStyle w:val="Compact"/>
              <w:jc w:val="left"/>
            </w:pPr>
            <w:r>
              <w:t xml:space="preserve">PV23</w:t>
            </w:r>
          </w:p>
        </w:tc>
        <w:tc>
          <w:tcPr/>
          <w:p>
            <w:pPr>
              <w:pStyle w:val="Compact"/>
              <w:jc w:val="left"/>
            </w:pPr>
            <w:r>
              <w:t xml:space="preserve">Overijssel (PV)</w:t>
            </w:r>
          </w:p>
        </w:tc>
        <w:tc>
          <w:tcPr/>
          <w:p>
            <w:pPr>
              <w:pStyle w:val="Compact"/>
              <w:jc w:val="right"/>
            </w:pPr>
            <w:r>
              <w:t xml:space="preserve">325</w:t>
            </w:r>
          </w:p>
        </w:tc>
        <w:tc>
          <w:tcPr/>
          <w:p>
            <w:pPr>
              <w:pStyle w:val="Compact"/>
              <w:jc w:val="right"/>
            </w:pPr>
            <w:r>
              <w:t xml:space="preserve">39.5</w:t>
            </w:r>
          </w:p>
        </w:tc>
        <w:tc>
          <w:tcPr/>
          <w:p>
            <w:pPr>
              <w:pStyle w:val="Compact"/>
              <w:jc w:val="left"/>
            </w:pPr>
            <w:r>
              <w:t xml:space="preserve">PV23</w:t>
            </w:r>
          </w:p>
        </w:tc>
        <w:tc>
          <w:tcPr/>
          <w:p>
            <w:pPr>
              <w:pStyle w:val="Compact"/>
              <w:jc w:val="right"/>
            </w:pPr>
            <w:r>
              <w:t xml:space="preserve">8.227848</w:t>
            </w:r>
          </w:p>
        </w:tc>
      </w:tr>
      <w:tr>
        <w:tc>
          <w:tcPr/>
          <w:p>
            <w:pPr>
              <w:pStyle w:val="Compact"/>
              <w:jc w:val="right"/>
            </w:pPr>
            <w:r>
              <w:t xml:space="preserve">2023</w:t>
            </w:r>
          </w:p>
        </w:tc>
        <w:tc>
          <w:tcPr/>
          <w:p>
            <w:pPr>
              <w:pStyle w:val="Compact"/>
              <w:jc w:val="left"/>
            </w:pPr>
            <w:r>
              <w:t xml:space="preserve">PV24</w:t>
            </w:r>
          </w:p>
        </w:tc>
        <w:tc>
          <w:tcPr/>
          <w:p>
            <w:pPr>
              <w:pStyle w:val="Compact"/>
              <w:jc w:val="left"/>
            </w:pPr>
            <w:r>
              <w:t xml:space="preserve">Flevoland (PV)</w:t>
            </w:r>
          </w:p>
        </w:tc>
        <w:tc>
          <w:tcPr/>
          <w:p>
            <w:pPr>
              <w:pStyle w:val="Compact"/>
              <w:jc w:val="right"/>
            </w:pPr>
            <w:r>
              <w:t xml:space="preserve">347</w:t>
            </w:r>
          </w:p>
        </w:tc>
        <w:tc>
          <w:tcPr/>
          <w:p>
            <w:pPr>
              <w:pStyle w:val="Compact"/>
              <w:jc w:val="right"/>
            </w:pPr>
            <w:r>
              <w:t xml:space="preserve">40.4</w:t>
            </w:r>
          </w:p>
        </w:tc>
        <w:tc>
          <w:tcPr/>
          <w:p>
            <w:pPr>
              <w:pStyle w:val="Compact"/>
              <w:jc w:val="left"/>
            </w:pPr>
            <w:r>
              <w:t xml:space="preserve">PV24</w:t>
            </w:r>
          </w:p>
        </w:tc>
        <w:tc>
          <w:tcPr/>
          <w:p>
            <w:pPr>
              <w:pStyle w:val="Compact"/>
              <w:jc w:val="right"/>
            </w:pPr>
            <w:r>
              <w:t xml:space="preserve">8.589109</w:t>
            </w:r>
          </w:p>
        </w:tc>
      </w:tr>
      <w:tr>
        <w:tc>
          <w:tcPr/>
          <w:p>
            <w:pPr>
              <w:pStyle w:val="Compact"/>
              <w:jc w:val="right"/>
            </w:pPr>
            <w:r>
              <w:t xml:space="preserve">2023</w:t>
            </w:r>
          </w:p>
        </w:tc>
        <w:tc>
          <w:tcPr/>
          <w:p>
            <w:pPr>
              <w:pStyle w:val="Compact"/>
              <w:jc w:val="left"/>
            </w:pPr>
            <w:r>
              <w:t xml:space="preserve">PV25</w:t>
            </w:r>
          </w:p>
        </w:tc>
        <w:tc>
          <w:tcPr/>
          <w:p>
            <w:pPr>
              <w:pStyle w:val="Compact"/>
              <w:jc w:val="left"/>
            </w:pPr>
            <w:r>
              <w:t xml:space="preserve">Gelderland (PV)</w:t>
            </w:r>
          </w:p>
        </w:tc>
        <w:tc>
          <w:tcPr/>
          <w:p>
            <w:pPr>
              <w:pStyle w:val="Compact"/>
              <w:jc w:val="right"/>
            </w:pPr>
            <w:r>
              <w:t xml:space="preserve">364</w:t>
            </w:r>
          </w:p>
        </w:tc>
        <w:tc>
          <w:tcPr/>
          <w:p>
            <w:pPr>
              <w:pStyle w:val="Compact"/>
              <w:jc w:val="right"/>
            </w:pPr>
            <w:r>
              <w:t xml:space="preserve">40.6</w:t>
            </w:r>
          </w:p>
        </w:tc>
        <w:tc>
          <w:tcPr/>
          <w:p>
            <w:pPr>
              <w:pStyle w:val="Compact"/>
              <w:jc w:val="left"/>
            </w:pPr>
            <w:r>
              <w:t xml:space="preserve">PV25</w:t>
            </w:r>
          </w:p>
        </w:tc>
        <w:tc>
          <w:tcPr/>
          <w:p>
            <w:pPr>
              <w:pStyle w:val="Compact"/>
              <w:jc w:val="right"/>
            </w:pPr>
            <w:r>
              <w:t xml:space="preserve">8.965517</w:t>
            </w:r>
          </w:p>
        </w:tc>
      </w:tr>
      <w:tr>
        <w:tc>
          <w:tcPr/>
          <w:p>
            <w:pPr>
              <w:pStyle w:val="Compact"/>
              <w:jc w:val="right"/>
            </w:pPr>
            <w:r>
              <w:t xml:space="preserve">2023</w:t>
            </w:r>
          </w:p>
        </w:tc>
        <w:tc>
          <w:tcPr/>
          <w:p>
            <w:pPr>
              <w:pStyle w:val="Compact"/>
              <w:jc w:val="left"/>
            </w:pPr>
            <w:r>
              <w:t xml:space="preserve">PV26</w:t>
            </w:r>
          </w:p>
        </w:tc>
        <w:tc>
          <w:tcPr/>
          <w:p>
            <w:pPr>
              <w:pStyle w:val="Compact"/>
              <w:jc w:val="left"/>
            </w:pPr>
            <w:r>
              <w:t xml:space="preserve">Utrecht (PV)</w:t>
            </w:r>
          </w:p>
        </w:tc>
        <w:tc>
          <w:tcPr/>
          <w:p>
            <w:pPr>
              <w:pStyle w:val="Compact"/>
              <w:jc w:val="right"/>
            </w:pPr>
            <w:r>
              <w:t xml:space="preserve">447</w:t>
            </w:r>
          </w:p>
        </w:tc>
        <w:tc>
          <w:tcPr/>
          <w:p>
            <w:pPr>
              <w:pStyle w:val="Compact"/>
              <w:jc w:val="right"/>
            </w:pPr>
            <w:r>
              <w:t xml:space="preserve">44.4</w:t>
            </w:r>
          </w:p>
        </w:tc>
        <w:tc>
          <w:tcPr/>
          <w:p>
            <w:pPr>
              <w:pStyle w:val="Compact"/>
              <w:jc w:val="left"/>
            </w:pPr>
            <w:r>
              <w:t xml:space="preserve">PV26</w:t>
            </w:r>
          </w:p>
        </w:tc>
        <w:tc>
          <w:tcPr/>
          <w:p>
            <w:pPr>
              <w:pStyle w:val="Compact"/>
              <w:jc w:val="right"/>
            </w:pPr>
            <w:r>
              <w:t xml:space="preserve">10.067568</w:t>
            </w:r>
          </w:p>
        </w:tc>
      </w:tr>
      <w:tr>
        <w:tc>
          <w:tcPr/>
          <w:p>
            <w:pPr>
              <w:pStyle w:val="Compact"/>
              <w:jc w:val="right"/>
            </w:pPr>
            <w:r>
              <w:t xml:space="preserve">2023</w:t>
            </w:r>
          </w:p>
        </w:tc>
        <w:tc>
          <w:tcPr/>
          <w:p>
            <w:pPr>
              <w:pStyle w:val="Compact"/>
              <w:jc w:val="left"/>
            </w:pPr>
            <w:r>
              <w:t xml:space="preserve">PV27</w:t>
            </w:r>
          </w:p>
        </w:tc>
        <w:tc>
          <w:tcPr/>
          <w:p>
            <w:pPr>
              <w:pStyle w:val="Compact"/>
              <w:jc w:val="left"/>
            </w:pPr>
            <w:r>
              <w:t xml:space="preserve">Noord-Holland (PV)</w:t>
            </w:r>
          </w:p>
        </w:tc>
        <w:tc>
          <w:tcPr/>
          <w:p>
            <w:pPr>
              <w:pStyle w:val="Compact"/>
              <w:jc w:val="right"/>
            </w:pPr>
            <w:r>
              <w:t xml:space="preserve">460</w:t>
            </w:r>
          </w:p>
        </w:tc>
        <w:tc>
          <w:tcPr/>
          <w:p>
            <w:pPr>
              <w:pStyle w:val="Compact"/>
              <w:jc w:val="right"/>
            </w:pPr>
            <w:r>
              <w:t xml:space="preserve">44.7</w:t>
            </w:r>
          </w:p>
        </w:tc>
        <w:tc>
          <w:tcPr/>
          <w:p>
            <w:pPr>
              <w:pStyle w:val="Compact"/>
              <w:jc w:val="left"/>
            </w:pPr>
            <w:r>
              <w:t xml:space="preserve">PV27</w:t>
            </w:r>
          </w:p>
        </w:tc>
        <w:tc>
          <w:tcPr/>
          <w:p>
            <w:pPr>
              <w:pStyle w:val="Compact"/>
              <w:jc w:val="right"/>
            </w:pPr>
            <w:r>
              <w:t xml:space="preserve">10.290828</w:t>
            </w:r>
          </w:p>
        </w:tc>
      </w:tr>
      <w:tr>
        <w:tc>
          <w:tcPr/>
          <w:p>
            <w:pPr>
              <w:pStyle w:val="Compact"/>
              <w:jc w:val="right"/>
            </w:pPr>
            <w:r>
              <w:t xml:space="preserve">2023</w:t>
            </w:r>
          </w:p>
        </w:tc>
        <w:tc>
          <w:tcPr/>
          <w:p>
            <w:pPr>
              <w:pStyle w:val="Compact"/>
              <w:jc w:val="left"/>
            </w:pPr>
            <w:r>
              <w:t xml:space="preserve">PV28</w:t>
            </w:r>
          </w:p>
        </w:tc>
        <w:tc>
          <w:tcPr/>
          <w:p>
            <w:pPr>
              <w:pStyle w:val="Compact"/>
              <w:jc w:val="left"/>
            </w:pPr>
            <w:r>
              <w:t xml:space="preserve">Zuid-Holland (PV)</w:t>
            </w:r>
          </w:p>
        </w:tc>
        <w:tc>
          <w:tcPr/>
          <w:p>
            <w:pPr>
              <w:pStyle w:val="Compact"/>
              <w:jc w:val="right"/>
            </w:pPr>
            <w:r>
              <w:t xml:space="preserve">359</w:t>
            </w:r>
          </w:p>
        </w:tc>
        <w:tc>
          <w:tcPr/>
          <w:p>
            <w:pPr>
              <w:pStyle w:val="Compact"/>
              <w:jc w:val="right"/>
            </w:pPr>
            <w:r>
              <w:t xml:space="preserve">42.4</w:t>
            </w:r>
          </w:p>
        </w:tc>
        <w:tc>
          <w:tcPr/>
          <w:p>
            <w:pPr>
              <w:pStyle w:val="Compact"/>
              <w:jc w:val="left"/>
            </w:pPr>
            <w:r>
              <w:t xml:space="preserve">PV28</w:t>
            </w:r>
          </w:p>
        </w:tc>
        <w:tc>
          <w:tcPr/>
          <w:p>
            <w:pPr>
              <w:pStyle w:val="Compact"/>
              <w:jc w:val="right"/>
            </w:pPr>
            <w:r>
              <w:t xml:space="preserve">8.466981</w:t>
            </w:r>
          </w:p>
        </w:tc>
      </w:tr>
      <w:tr>
        <w:tc>
          <w:tcPr/>
          <w:p>
            <w:pPr>
              <w:pStyle w:val="Compact"/>
              <w:jc w:val="right"/>
            </w:pPr>
            <w:r>
              <w:t xml:space="preserve">2023</w:t>
            </w:r>
          </w:p>
        </w:tc>
        <w:tc>
          <w:tcPr/>
          <w:p>
            <w:pPr>
              <w:pStyle w:val="Compact"/>
              <w:jc w:val="left"/>
            </w:pPr>
            <w:r>
              <w:t xml:space="preserve">PV29</w:t>
            </w:r>
          </w:p>
        </w:tc>
        <w:tc>
          <w:tcPr/>
          <w:p>
            <w:pPr>
              <w:pStyle w:val="Compact"/>
              <w:jc w:val="left"/>
            </w:pPr>
            <w:r>
              <w:t xml:space="preserve">Zeeland (PV)</w:t>
            </w:r>
          </w:p>
        </w:tc>
        <w:tc>
          <w:tcPr/>
          <w:p>
            <w:pPr>
              <w:pStyle w:val="Compact"/>
              <w:jc w:val="right"/>
            </w:pPr>
            <w:r>
              <w:t xml:space="preserve">281</w:t>
            </w:r>
          </w:p>
        </w:tc>
        <w:tc>
          <w:tcPr/>
          <w:p>
            <w:pPr>
              <w:pStyle w:val="Compact"/>
              <w:jc w:val="right"/>
            </w:pPr>
            <w:r>
              <w:t xml:space="preserve">40.3</w:t>
            </w:r>
          </w:p>
        </w:tc>
        <w:tc>
          <w:tcPr/>
          <w:p>
            <w:pPr>
              <w:pStyle w:val="Compact"/>
              <w:jc w:val="left"/>
            </w:pPr>
            <w:r>
              <w:t xml:space="preserve">PV29</w:t>
            </w:r>
          </w:p>
        </w:tc>
        <w:tc>
          <w:tcPr/>
          <w:p>
            <w:pPr>
              <w:pStyle w:val="Compact"/>
              <w:jc w:val="right"/>
            </w:pPr>
            <w:r>
              <w:t xml:space="preserve">6.972705</w:t>
            </w:r>
          </w:p>
        </w:tc>
      </w:tr>
      <w:tr>
        <w:tc>
          <w:tcPr/>
          <w:p>
            <w:pPr>
              <w:pStyle w:val="Compact"/>
              <w:jc w:val="right"/>
            </w:pPr>
            <w:r>
              <w:t xml:space="preserve">2023</w:t>
            </w:r>
          </w:p>
        </w:tc>
        <w:tc>
          <w:tcPr/>
          <w:p>
            <w:pPr>
              <w:pStyle w:val="Compact"/>
              <w:jc w:val="left"/>
            </w:pPr>
            <w:r>
              <w:t xml:space="preserve">PV30</w:t>
            </w:r>
          </w:p>
        </w:tc>
        <w:tc>
          <w:tcPr/>
          <w:p>
            <w:pPr>
              <w:pStyle w:val="Compact"/>
              <w:jc w:val="left"/>
            </w:pPr>
            <w:r>
              <w:t xml:space="preserve">Noord-Brabant (PV)</w:t>
            </w:r>
          </w:p>
        </w:tc>
        <w:tc>
          <w:tcPr/>
          <w:p>
            <w:pPr>
              <w:pStyle w:val="Compact"/>
              <w:jc w:val="right"/>
            </w:pPr>
            <w:r>
              <w:t xml:space="preserve">370</w:t>
            </w:r>
          </w:p>
        </w:tc>
        <w:tc>
          <w:tcPr/>
          <w:p>
            <w:pPr>
              <w:pStyle w:val="Compact"/>
              <w:jc w:val="right"/>
            </w:pPr>
            <w:r>
              <w:t xml:space="preserve">41.8</w:t>
            </w:r>
          </w:p>
        </w:tc>
        <w:tc>
          <w:tcPr/>
          <w:p>
            <w:pPr>
              <w:pStyle w:val="Compact"/>
              <w:jc w:val="left"/>
            </w:pPr>
            <w:r>
              <w:t xml:space="preserve">PV30</w:t>
            </w:r>
          </w:p>
        </w:tc>
        <w:tc>
          <w:tcPr/>
          <w:p>
            <w:pPr>
              <w:pStyle w:val="Compact"/>
              <w:jc w:val="right"/>
            </w:pPr>
            <w:r>
              <w:t xml:space="preserve">8.851675</w:t>
            </w:r>
          </w:p>
        </w:tc>
      </w:tr>
      <w:tr>
        <w:tc>
          <w:tcPr/>
          <w:p>
            <w:pPr>
              <w:pStyle w:val="Compact"/>
              <w:jc w:val="right"/>
            </w:pPr>
            <w:r>
              <w:t xml:space="preserve">2023</w:t>
            </w:r>
          </w:p>
        </w:tc>
        <w:tc>
          <w:tcPr/>
          <w:p>
            <w:pPr>
              <w:pStyle w:val="Compact"/>
              <w:jc w:val="left"/>
            </w:pPr>
            <w:r>
              <w:t xml:space="preserve">PV31</w:t>
            </w:r>
          </w:p>
        </w:tc>
        <w:tc>
          <w:tcPr/>
          <w:p>
            <w:pPr>
              <w:pStyle w:val="Compact"/>
              <w:jc w:val="left"/>
            </w:pPr>
            <w:r>
              <w:t xml:space="preserve">Limburg (PV)</w:t>
            </w:r>
          </w:p>
        </w:tc>
        <w:tc>
          <w:tcPr/>
          <w:p>
            <w:pPr>
              <w:pStyle w:val="Compact"/>
              <w:jc w:val="right"/>
            </w:pPr>
            <w:r>
              <w:t xml:space="preserve">288</w:t>
            </w:r>
          </w:p>
        </w:tc>
        <w:tc>
          <w:tcPr/>
          <w:p>
            <w:pPr>
              <w:pStyle w:val="Compact"/>
              <w:jc w:val="right"/>
            </w:pPr>
            <w:r>
              <w:t xml:space="preserve">39.9</w:t>
            </w:r>
          </w:p>
        </w:tc>
        <w:tc>
          <w:tcPr/>
          <w:p>
            <w:pPr>
              <w:pStyle w:val="Compact"/>
              <w:jc w:val="left"/>
            </w:pPr>
            <w:r>
              <w:t xml:space="preserve">PV31</w:t>
            </w:r>
          </w:p>
        </w:tc>
        <w:tc>
          <w:tcPr/>
          <w:p>
            <w:pPr>
              <w:pStyle w:val="Compact"/>
              <w:jc w:val="right"/>
            </w:pPr>
            <w:r>
              <w:t xml:space="preserve">7.218045</w:t>
            </w:r>
          </w:p>
        </w:tc>
      </w:tr>
    </w:tbl>
    <w:p/>
    <w:tbl>
      <w:tblPr>
        <w:tblStyle w:val="Table"/>
        <w:tblW w:type="pct" w:w="5000"/>
        <w:tblLayout w:type="fixed"/>
        <w:tblLook w:firstRow="1" w:lastRow="0" w:firstColumn="0" w:lastColumn="0" w:noHBand="0" w:noVBand="0" w:val="0020"/>
      </w:tblPr>
      <w:tblGrid>
        <w:gridCol w:w="344"/>
        <w:gridCol w:w="895"/>
        <w:gridCol w:w="1170"/>
        <w:gridCol w:w="964"/>
        <w:gridCol w:w="1308"/>
        <w:gridCol w:w="1033"/>
        <w:gridCol w:w="1239"/>
        <w:gridCol w:w="964"/>
      </w:tblGrid>
      <w:tr>
        <w:trPr>
          <w:tblHeader w:val="on"/>
        </w:trPr>
        <w:tc>
          <w:tcPr/>
          <w:p>
            <w:pPr>
              <w:pStyle w:val="Compact"/>
              <w:jc w:val="right"/>
            </w:pPr>
            <w:r>
              <w:t xml:space="preserve">Year</w:t>
            </w:r>
          </w:p>
        </w:tc>
        <w:tc>
          <w:tcPr/>
          <w:p>
            <w:pPr>
              <w:pStyle w:val="Compact"/>
              <w:jc w:val="left"/>
            </w:pPr>
            <w:r>
              <w:t xml:space="preserve">RegioS_label</w:t>
            </w:r>
          </w:p>
        </w:tc>
        <w:tc>
          <w:tcPr/>
          <w:p>
            <w:pPr>
              <w:pStyle w:val="Compact"/>
              <w:jc w:val="right"/>
            </w:pPr>
            <w:r>
              <w:t xml:space="preserve">InkomenWerknemer</w:t>
            </w:r>
          </w:p>
        </w:tc>
        <w:tc>
          <w:tcPr/>
          <w:p>
            <w:pPr>
              <w:pStyle w:val="Compact"/>
              <w:jc w:val="right"/>
            </w:pPr>
            <w:r>
              <w:t xml:space="preserve">GemiddeldeWOZ</w:t>
            </w:r>
          </w:p>
        </w:tc>
        <w:tc>
          <w:tcPr/>
          <w:p>
            <w:pPr>
              <w:pStyle w:val="Compact"/>
              <w:jc w:val="right"/>
            </w:pPr>
            <w:r>
              <w:t xml:space="preserve">AffordabilityRatio</w:t>
            </w:r>
          </w:p>
        </w:tc>
        <w:tc>
          <w:tcPr/>
          <w:p>
            <w:pPr>
              <w:pStyle w:val="Compact"/>
              <w:jc w:val="right"/>
            </w:pPr>
            <w:r>
              <w:t xml:space="preserve">WOZ_growth_yoy</w:t>
            </w:r>
          </w:p>
        </w:tc>
        <w:tc>
          <w:tcPr/>
          <w:p>
            <w:pPr>
              <w:pStyle w:val="Compact"/>
              <w:jc w:val="right"/>
            </w:pPr>
            <w:r>
              <w:t xml:space="preserve">Income_growth_yoy</w:t>
            </w:r>
          </w:p>
        </w:tc>
        <w:tc>
          <w:tcPr/>
          <w:p>
            <w:pPr>
              <w:pStyle w:val="Compact"/>
              <w:jc w:val="right"/>
            </w:pPr>
            <w:r>
              <w:t xml:space="preserve">GrowthGap_yoy</w:t>
            </w:r>
          </w:p>
        </w:tc>
      </w:tr>
      <w:tr>
        <w:tc>
          <w:tcPr/>
          <w:p>
            <w:pPr>
              <w:pStyle w:val="Compact"/>
              <w:jc w:val="right"/>
            </w:pPr>
            <w:r>
              <w:t xml:space="preserve">2015</w:t>
            </w:r>
          </w:p>
        </w:tc>
        <w:tc>
          <w:tcPr/>
          <w:p>
            <w:pPr>
              <w:pStyle w:val="Compact"/>
              <w:jc w:val="left"/>
            </w:pPr>
            <w:r>
              <w:t xml:space="preserve">Nederland</w:t>
            </w:r>
          </w:p>
        </w:tc>
        <w:tc>
          <w:tcPr/>
          <w:p>
            <w:pPr>
              <w:pStyle w:val="Compact"/>
              <w:jc w:val="right"/>
            </w:pPr>
            <w:r>
              <w:t xml:space="preserve">30.3</w:t>
            </w:r>
          </w:p>
        </w:tc>
        <w:tc>
          <w:tcPr/>
          <w:p>
            <w:pPr>
              <w:pStyle w:val="Compact"/>
              <w:jc w:val="right"/>
            </w:pPr>
            <w:r>
              <w:t xml:space="preserve">206</w:t>
            </w:r>
          </w:p>
        </w:tc>
        <w:tc>
          <w:tcPr/>
          <w:p>
            <w:pPr>
              <w:pStyle w:val="Compact"/>
              <w:jc w:val="right"/>
            </w:pPr>
            <w:r>
              <w:t xml:space="preserve">6.798680</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right"/>
            </w:pPr>
            <w:r>
              <w:t xml:space="preserve">2016</w:t>
            </w:r>
          </w:p>
        </w:tc>
        <w:tc>
          <w:tcPr/>
          <w:p>
            <w:pPr>
              <w:pStyle w:val="Compact"/>
              <w:jc w:val="left"/>
            </w:pPr>
            <w:r>
              <w:t xml:space="preserve">Nederland</w:t>
            </w:r>
          </w:p>
        </w:tc>
        <w:tc>
          <w:tcPr/>
          <w:p>
            <w:pPr>
              <w:pStyle w:val="Compact"/>
              <w:jc w:val="right"/>
            </w:pPr>
            <w:r>
              <w:t xml:space="preserve">31.4</w:t>
            </w:r>
          </w:p>
        </w:tc>
        <w:tc>
          <w:tcPr/>
          <w:p>
            <w:pPr>
              <w:pStyle w:val="Compact"/>
              <w:jc w:val="right"/>
            </w:pPr>
            <w:r>
              <w:t xml:space="preserve">208</w:t>
            </w:r>
          </w:p>
        </w:tc>
        <w:tc>
          <w:tcPr/>
          <w:p>
            <w:pPr>
              <w:pStyle w:val="Compact"/>
              <w:jc w:val="right"/>
            </w:pPr>
            <w:r>
              <w:t xml:space="preserve">6.624204</w:t>
            </w:r>
          </w:p>
        </w:tc>
        <w:tc>
          <w:tcPr/>
          <w:p>
            <w:pPr>
              <w:pStyle w:val="Compact"/>
              <w:jc w:val="right"/>
            </w:pPr>
            <w:r>
              <w:t xml:space="preserve">0.9708738</w:t>
            </w:r>
          </w:p>
        </w:tc>
        <w:tc>
          <w:tcPr/>
          <w:p>
            <w:pPr>
              <w:pStyle w:val="Compact"/>
              <w:jc w:val="right"/>
            </w:pPr>
            <w:r>
              <w:t xml:space="preserve">3.630363</w:t>
            </w:r>
          </w:p>
        </w:tc>
        <w:tc>
          <w:tcPr/>
          <w:p>
            <w:pPr>
              <w:pStyle w:val="Compact"/>
              <w:jc w:val="right"/>
            </w:pPr>
            <w:r>
              <w:t xml:space="preserve">-2.659489</w:t>
            </w:r>
          </w:p>
        </w:tc>
      </w:tr>
      <w:tr>
        <w:tc>
          <w:tcPr/>
          <w:p>
            <w:pPr>
              <w:pStyle w:val="Compact"/>
              <w:jc w:val="right"/>
            </w:pPr>
            <w:r>
              <w:t xml:space="preserve">2017</w:t>
            </w:r>
          </w:p>
        </w:tc>
        <w:tc>
          <w:tcPr/>
          <w:p>
            <w:pPr>
              <w:pStyle w:val="Compact"/>
              <w:jc w:val="left"/>
            </w:pPr>
            <w:r>
              <w:t xml:space="preserve">Nederland</w:t>
            </w:r>
          </w:p>
        </w:tc>
        <w:tc>
          <w:tcPr/>
          <w:p>
            <w:pPr>
              <w:pStyle w:val="Compact"/>
              <w:jc w:val="right"/>
            </w:pPr>
            <w:r>
              <w:t xml:space="preserve">32.0</w:t>
            </w:r>
          </w:p>
        </w:tc>
        <w:tc>
          <w:tcPr/>
          <w:p>
            <w:pPr>
              <w:pStyle w:val="Compact"/>
              <w:jc w:val="right"/>
            </w:pPr>
            <w:r>
              <w:t xml:space="preserve">217</w:t>
            </w:r>
          </w:p>
        </w:tc>
        <w:tc>
          <w:tcPr/>
          <w:p>
            <w:pPr>
              <w:pStyle w:val="Compact"/>
              <w:jc w:val="right"/>
            </w:pPr>
            <w:r>
              <w:t xml:space="preserve">6.781250</w:t>
            </w:r>
          </w:p>
        </w:tc>
        <w:tc>
          <w:tcPr/>
          <w:p>
            <w:pPr>
              <w:pStyle w:val="Compact"/>
              <w:jc w:val="right"/>
            </w:pPr>
            <w:r>
              <w:t xml:space="preserve">4.3269231</w:t>
            </w:r>
          </w:p>
        </w:tc>
        <w:tc>
          <w:tcPr/>
          <w:p>
            <w:pPr>
              <w:pStyle w:val="Compact"/>
              <w:jc w:val="right"/>
            </w:pPr>
            <w:r>
              <w:t xml:space="preserve">1.910828</w:t>
            </w:r>
          </w:p>
        </w:tc>
        <w:tc>
          <w:tcPr/>
          <w:p>
            <w:pPr>
              <w:pStyle w:val="Compact"/>
              <w:jc w:val="right"/>
            </w:pPr>
            <w:r>
              <w:t xml:space="preserve">2.416095</w:t>
            </w:r>
          </w:p>
        </w:tc>
      </w:tr>
      <w:tr>
        <w:tc>
          <w:tcPr/>
          <w:p>
            <w:pPr>
              <w:pStyle w:val="Compact"/>
              <w:jc w:val="right"/>
            </w:pPr>
            <w:r>
              <w:t xml:space="preserve">2018</w:t>
            </w:r>
          </w:p>
        </w:tc>
        <w:tc>
          <w:tcPr/>
          <w:p>
            <w:pPr>
              <w:pStyle w:val="Compact"/>
              <w:jc w:val="left"/>
            </w:pPr>
            <w:r>
              <w:t xml:space="preserve">Nederland</w:t>
            </w:r>
          </w:p>
        </w:tc>
        <w:tc>
          <w:tcPr/>
          <w:p>
            <w:pPr>
              <w:pStyle w:val="Compact"/>
              <w:jc w:val="right"/>
            </w:pPr>
            <w:r>
              <w:t xml:space="preserve">32.3</w:t>
            </w:r>
          </w:p>
        </w:tc>
        <w:tc>
          <w:tcPr/>
          <w:p>
            <w:pPr>
              <w:pStyle w:val="Compact"/>
              <w:jc w:val="right"/>
            </w:pPr>
            <w:r>
              <w:t xml:space="preserve">230</w:t>
            </w:r>
          </w:p>
        </w:tc>
        <w:tc>
          <w:tcPr/>
          <w:p>
            <w:pPr>
              <w:pStyle w:val="Compact"/>
              <w:jc w:val="right"/>
            </w:pPr>
            <w:r>
              <w:t xml:space="preserve">7.120743</w:t>
            </w:r>
          </w:p>
        </w:tc>
        <w:tc>
          <w:tcPr/>
          <w:p>
            <w:pPr>
              <w:pStyle w:val="Compact"/>
              <w:jc w:val="right"/>
            </w:pPr>
            <w:r>
              <w:t xml:space="preserve">5.9907834</w:t>
            </w:r>
          </w:p>
        </w:tc>
        <w:tc>
          <w:tcPr/>
          <w:p>
            <w:pPr>
              <w:pStyle w:val="Compact"/>
              <w:jc w:val="right"/>
            </w:pPr>
            <w:r>
              <w:t xml:space="preserve">0.937500</w:t>
            </w:r>
          </w:p>
        </w:tc>
        <w:tc>
          <w:tcPr/>
          <w:p>
            <w:pPr>
              <w:pStyle w:val="Compact"/>
              <w:jc w:val="right"/>
            </w:pPr>
            <w:r>
              <w:t xml:space="preserve">5.053283</w:t>
            </w:r>
          </w:p>
        </w:tc>
      </w:tr>
      <w:tr>
        <w:tc>
          <w:tcPr/>
          <w:p>
            <w:pPr>
              <w:pStyle w:val="Compact"/>
              <w:jc w:val="right"/>
            </w:pPr>
            <w:r>
              <w:t xml:space="preserve">2019</w:t>
            </w:r>
          </w:p>
        </w:tc>
        <w:tc>
          <w:tcPr/>
          <w:p>
            <w:pPr>
              <w:pStyle w:val="Compact"/>
              <w:jc w:val="left"/>
            </w:pPr>
            <w:r>
              <w:t xml:space="preserve">Nederland</w:t>
            </w:r>
          </w:p>
        </w:tc>
        <w:tc>
          <w:tcPr/>
          <w:p>
            <w:pPr>
              <w:pStyle w:val="Compact"/>
              <w:jc w:val="right"/>
            </w:pPr>
            <w:r>
              <w:t xml:space="preserve">33.7</w:t>
            </w:r>
          </w:p>
        </w:tc>
        <w:tc>
          <w:tcPr/>
          <w:p>
            <w:pPr>
              <w:pStyle w:val="Compact"/>
              <w:jc w:val="right"/>
            </w:pPr>
            <w:r>
              <w:t xml:space="preserve">250</w:t>
            </w:r>
          </w:p>
        </w:tc>
        <w:tc>
          <w:tcPr/>
          <w:p>
            <w:pPr>
              <w:pStyle w:val="Compact"/>
              <w:jc w:val="right"/>
            </w:pPr>
            <w:r>
              <w:t xml:space="preserve">7.418398</w:t>
            </w:r>
          </w:p>
        </w:tc>
        <w:tc>
          <w:tcPr/>
          <w:p>
            <w:pPr>
              <w:pStyle w:val="Compact"/>
              <w:jc w:val="right"/>
            </w:pPr>
            <w:r>
              <w:t xml:space="preserve">8.6956522</w:t>
            </w:r>
          </w:p>
        </w:tc>
        <w:tc>
          <w:tcPr/>
          <w:p>
            <w:pPr>
              <w:pStyle w:val="Compact"/>
              <w:jc w:val="right"/>
            </w:pPr>
            <w:r>
              <w:t xml:space="preserve">4.334365</w:t>
            </w:r>
          </w:p>
        </w:tc>
        <w:tc>
          <w:tcPr/>
          <w:p>
            <w:pPr>
              <w:pStyle w:val="Compact"/>
              <w:jc w:val="right"/>
            </w:pPr>
            <w:r>
              <w:t xml:space="preserve">4.361287</w:t>
            </w:r>
          </w:p>
        </w:tc>
      </w:tr>
      <w:tr>
        <w:tc>
          <w:tcPr/>
          <w:p>
            <w:pPr>
              <w:pStyle w:val="Compact"/>
              <w:jc w:val="right"/>
            </w:pPr>
            <w:r>
              <w:t xml:space="preserve">2020</w:t>
            </w:r>
          </w:p>
        </w:tc>
        <w:tc>
          <w:tcPr/>
          <w:p>
            <w:pPr>
              <w:pStyle w:val="Compact"/>
              <w:jc w:val="left"/>
            </w:pPr>
            <w:r>
              <w:t xml:space="preserve">Nederland</w:t>
            </w:r>
          </w:p>
        </w:tc>
        <w:tc>
          <w:tcPr/>
          <w:p>
            <w:pPr>
              <w:pStyle w:val="Compact"/>
              <w:jc w:val="right"/>
            </w:pPr>
            <w:r>
              <w:t xml:space="preserve">35.3</w:t>
            </w:r>
          </w:p>
        </w:tc>
        <w:tc>
          <w:tcPr/>
          <w:p>
            <w:pPr>
              <w:pStyle w:val="Compact"/>
              <w:jc w:val="right"/>
            </w:pPr>
            <w:r>
              <w:t xml:space="preserve">271</w:t>
            </w:r>
          </w:p>
        </w:tc>
        <w:tc>
          <w:tcPr/>
          <w:p>
            <w:pPr>
              <w:pStyle w:val="Compact"/>
              <w:jc w:val="right"/>
            </w:pPr>
            <w:r>
              <w:t xml:space="preserve">7.677054</w:t>
            </w:r>
          </w:p>
        </w:tc>
        <w:tc>
          <w:tcPr/>
          <w:p>
            <w:pPr>
              <w:pStyle w:val="Compact"/>
              <w:jc w:val="right"/>
            </w:pPr>
            <w:r>
              <w:t xml:space="preserve">8.4000000</w:t>
            </w:r>
          </w:p>
        </w:tc>
        <w:tc>
          <w:tcPr/>
          <w:p>
            <w:pPr>
              <w:pStyle w:val="Compact"/>
              <w:jc w:val="right"/>
            </w:pPr>
            <w:r>
              <w:t xml:space="preserve">4.747775</w:t>
            </w:r>
          </w:p>
        </w:tc>
        <w:tc>
          <w:tcPr/>
          <w:p>
            <w:pPr>
              <w:pStyle w:val="Compact"/>
              <w:jc w:val="right"/>
            </w:pPr>
            <w:r>
              <w:t xml:space="preserve">3.652226</w:t>
            </w:r>
          </w:p>
        </w:tc>
      </w:tr>
      <w:tr>
        <w:tc>
          <w:tcPr/>
          <w:p>
            <w:pPr>
              <w:pStyle w:val="Compact"/>
              <w:jc w:val="right"/>
            </w:pPr>
            <w:r>
              <w:t xml:space="preserve">2021</w:t>
            </w:r>
          </w:p>
        </w:tc>
        <w:tc>
          <w:tcPr/>
          <w:p>
            <w:pPr>
              <w:pStyle w:val="Compact"/>
              <w:jc w:val="left"/>
            </w:pPr>
            <w:r>
              <w:t xml:space="preserve">Nederland</w:t>
            </w:r>
          </w:p>
        </w:tc>
        <w:tc>
          <w:tcPr/>
          <w:p>
            <w:pPr>
              <w:pStyle w:val="Compact"/>
              <w:jc w:val="right"/>
            </w:pPr>
            <w:r>
              <w:t xml:space="preserve">37.1</w:t>
            </w:r>
          </w:p>
        </w:tc>
        <w:tc>
          <w:tcPr/>
          <w:p>
            <w:pPr>
              <w:pStyle w:val="Compact"/>
              <w:jc w:val="right"/>
            </w:pPr>
            <w:r>
              <w:t xml:space="preserve">290</w:t>
            </w:r>
          </w:p>
        </w:tc>
        <w:tc>
          <w:tcPr/>
          <w:p>
            <w:pPr>
              <w:pStyle w:val="Compact"/>
              <w:jc w:val="right"/>
            </w:pPr>
            <w:r>
              <w:t xml:space="preserve">7.816712</w:t>
            </w:r>
          </w:p>
        </w:tc>
        <w:tc>
          <w:tcPr/>
          <w:p>
            <w:pPr>
              <w:pStyle w:val="Compact"/>
              <w:jc w:val="right"/>
            </w:pPr>
            <w:r>
              <w:t xml:space="preserve">7.0110701</w:t>
            </w:r>
          </w:p>
        </w:tc>
        <w:tc>
          <w:tcPr/>
          <w:p>
            <w:pPr>
              <w:pStyle w:val="Compact"/>
              <w:jc w:val="right"/>
            </w:pPr>
            <w:r>
              <w:t xml:space="preserve">5.099150</w:t>
            </w:r>
          </w:p>
        </w:tc>
        <w:tc>
          <w:tcPr/>
          <w:p>
            <w:pPr>
              <w:pStyle w:val="Compact"/>
              <w:jc w:val="right"/>
            </w:pPr>
            <w:r>
              <w:t xml:space="preserve">1.911920</w:t>
            </w:r>
          </w:p>
        </w:tc>
      </w:tr>
      <w:tr>
        <w:tc>
          <w:tcPr/>
          <w:p>
            <w:pPr>
              <w:pStyle w:val="Compact"/>
              <w:jc w:val="right"/>
            </w:pPr>
            <w:r>
              <w:t xml:space="preserve">2022</w:t>
            </w:r>
          </w:p>
        </w:tc>
        <w:tc>
          <w:tcPr/>
          <w:p>
            <w:pPr>
              <w:pStyle w:val="Compact"/>
              <w:jc w:val="left"/>
            </w:pPr>
            <w:r>
              <w:t xml:space="preserve">Nederland</w:t>
            </w:r>
          </w:p>
        </w:tc>
        <w:tc>
          <w:tcPr/>
          <w:p>
            <w:pPr>
              <w:pStyle w:val="Compact"/>
              <w:jc w:val="right"/>
            </w:pPr>
            <w:r>
              <w:t xml:space="preserve">39.0</w:t>
            </w:r>
          </w:p>
        </w:tc>
        <w:tc>
          <w:tcPr/>
          <w:p>
            <w:pPr>
              <w:pStyle w:val="Compact"/>
              <w:jc w:val="right"/>
            </w:pPr>
            <w:r>
              <w:t xml:space="preserve">317</w:t>
            </w:r>
          </w:p>
        </w:tc>
        <w:tc>
          <w:tcPr/>
          <w:p>
            <w:pPr>
              <w:pStyle w:val="Compact"/>
              <w:jc w:val="right"/>
            </w:pPr>
            <w:r>
              <w:t xml:space="preserve">8.128205</w:t>
            </w:r>
          </w:p>
        </w:tc>
        <w:tc>
          <w:tcPr/>
          <w:p>
            <w:pPr>
              <w:pStyle w:val="Compact"/>
              <w:jc w:val="right"/>
            </w:pPr>
            <w:r>
              <w:t xml:space="preserve">9.3103448</w:t>
            </w:r>
          </w:p>
        </w:tc>
        <w:tc>
          <w:tcPr/>
          <w:p>
            <w:pPr>
              <w:pStyle w:val="Compact"/>
              <w:jc w:val="right"/>
            </w:pPr>
            <w:r>
              <w:t xml:space="preserve">5.121294</w:t>
            </w:r>
          </w:p>
        </w:tc>
        <w:tc>
          <w:tcPr/>
          <w:p>
            <w:pPr>
              <w:pStyle w:val="Compact"/>
              <w:jc w:val="right"/>
            </w:pPr>
            <w:r>
              <w:t xml:space="preserve">4.189051</w:t>
            </w:r>
          </w:p>
        </w:tc>
      </w:tr>
      <w:tr>
        <w:tc>
          <w:tcPr/>
          <w:p>
            <w:pPr>
              <w:pStyle w:val="Compact"/>
              <w:jc w:val="right"/>
            </w:pPr>
            <w:r>
              <w:t xml:space="preserve">2023</w:t>
            </w:r>
          </w:p>
        </w:tc>
        <w:tc>
          <w:tcPr/>
          <w:p>
            <w:pPr>
              <w:pStyle w:val="Compact"/>
              <w:jc w:val="left"/>
            </w:pPr>
            <w:r>
              <w:t xml:space="preserve">Nederland</w:t>
            </w:r>
          </w:p>
        </w:tc>
        <w:tc>
          <w:tcPr/>
          <w:p>
            <w:pPr>
              <w:pStyle w:val="Compact"/>
              <w:jc w:val="right"/>
            </w:pPr>
            <w:r>
              <w:t xml:space="preserve">41.8</w:t>
            </w:r>
          </w:p>
        </w:tc>
        <w:tc>
          <w:tcPr/>
          <w:p>
            <w:pPr>
              <w:pStyle w:val="Compact"/>
              <w:jc w:val="right"/>
            </w:pPr>
            <w:r>
              <w:t xml:space="preserve">368</w:t>
            </w:r>
          </w:p>
        </w:tc>
        <w:tc>
          <w:tcPr/>
          <w:p>
            <w:pPr>
              <w:pStyle w:val="Compact"/>
              <w:jc w:val="right"/>
            </w:pPr>
            <w:r>
              <w:t xml:space="preserve">8.803828</w:t>
            </w:r>
          </w:p>
        </w:tc>
        <w:tc>
          <w:tcPr/>
          <w:p>
            <w:pPr>
              <w:pStyle w:val="Compact"/>
              <w:jc w:val="right"/>
            </w:pPr>
            <w:r>
              <w:t xml:space="preserve">16.0883281</w:t>
            </w:r>
          </w:p>
        </w:tc>
        <w:tc>
          <w:tcPr/>
          <w:p>
            <w:pPr>
              <w:pStyle w:val="Compact"/>
              <w:jc w:val="right"/>
            </w:pPr>
            <w:r>
              <w:t xml:space="preserve">7.179487</w:t>
            </w:r>
          </w:p>
        </w:tc>
        <w:tc>
          <w:tcPr/>
          <w:p>
            <w:pPr>
              <w:pStyle w:val="Compact"/>
              <w:jc w:val="right"/>
            </w:pPr>
            <w:r>
              <w:t xml:space="preserve">8.908841</w:t>
            </w:r>
          </w:p>
        </w:tc>
      </w:tr>
      <w:tr>
        <w:tc>
          <w:tcPr/>
          <w:p>
            <w:pPr>
              <w:pStyle w:val="Compact"/>
              <w:jc w:val="right"/>
            </w:pPr>
            <w:r>
              <w:t xml:space="preserve">2024</w:t>
            </w:r>
          </w:p>
        </w:tc>
        <w:tc>
          <w:tcPr/>
          <w:p>
            <w:pPr>
              <w:pStyle w:val="Compact"/>
              <w:jc w:val="left"/>
            </w:pPr>
            <w:r>
              <w:t xml:space="preserve">Nederland</w:t>
            </w:r>
          </w:p>
        </w:tc>
        <w:tc>
          <w:tcPr/>
          <w:p>
            <w:pPr>
              <w:pStyle w:val="Compact"/>
              <w:jc w:val="right"/>
            </w:pPr>
            <w:r>
              <w:t xml:space="preserve">44.7</w:t>
            </w:r>
          </w:p>
        </w:tc>
        <w:tc>
          <w:tcPr/>
          <w:p>
            <w:pPr>
              <w:pStyle w:val="Compact"/>
              <w:jc w:val="right"/>
            </w:pPr>
            <w:r>
              <w:t xml:space="preserve">378</w:t>
            </w:r>
          </w:p>
        </w:tc>
        <w:tc>
          <w:tcPr/>
          <w:p>
            <w:pPr>
              <w:pStyle w:val="Compact"/>
              <w:jc w:val="right"/>
            </w:pPr>
            <w:r>
              <w:t xml:space="preserve">8.456376</w:t>
            </w:r>
          </w:p>
        </w:tc>
        <w:tc>
          <w:tcPr/>
          <w:p>
            <w:pPr>
              <w:pStyle w:val="Compact"/>
              <w:jc w:val="right"/>
            </w:pPr>
            <w:r>
              <w:t xml:space="preserve">2.7173913</w:t>
            </w:r>
          </w:p>
        </w:tc>
        <w:tc>
          <w:tcPr/>
          <w:p>
            <w:pPr>
              <w:pStyle w:val="Compact"/>
              <w:jc w:val="right"/>
            </w:pPr>
            <w:r>
              <w:t xml:space="preserve">6.937799</w:t>
            </w:r>
          </w:p>
        </w:tc>
        <w:tc>
          <w:tcPr/>
          <w:p>
            <w:pPr>
              <w:pStyle w:val="Compact"/>
              <w:jc w:val="right"/>
            </w:pPr>
            <w:r>
              <w:t xml:space="preserve">-4.220408</w:t>
            </w:r>
          </w:p>
        </w:tc>
      </w:tr>
    </w:tbl>
    <w:bookmarkEnd w:id="19"/>
    <w:bookmarkStart w:id="23" w:name="visualize-temporal-variation"/>
    <w:p>
      <w:pPr>
        <w:pStyle w:val="Heading2"/>
      </w:pPr>
      <w:r>
        <w:t xml:space="preserve">3.3 Visualize temporal variation</w:t>
      </w:r>
    </w:p>
    <w:p>
      <w:pPr>
        <w:pStyle w:val="FirstParagraph"/>
      </w:pPr>
      <w:r>
        <w:drawing>
          <wp:inline>
            <wp:extent cx="5334000" cy="4267200"/>
            <wp:effectExtent b="0" l="0" r="0" t="0"/>
            <wp:docPr descr="" title="" id="21" name="Picture"/>
            <a:graphic>
              <a:graphicData uri="http://schemas.openxmlformats.org/drawingml/2006/picture">
                <pic:pic>
                  <pic:nvPicPr>
                    <pic:cNvPr descr="R-script-template_files/R-script-template_files/figure-docx/Time Plot-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bookmarkStart w:id="31" w:name="visualize-spatial-variation"/>
    <w:p>
      <w:pPr>
        <w:pStyle w:val="Heading2"/>
      </w:pPr>
      <w:r>
        <w:t xml:space="preserve">3.4 Visualize spatial variation</w:t>
      </w:r>
    </w:p>
    <w:p>
      <w:pPr>
        <w:pStyle w:val="FirstParagraph"/>
      </w:pPr>
      <w:r>
        <w:t xml:space="preserve">The map visualizes how housing affordability differs across Dutch provinces in 2023. The WOZ-to-income ratio is highest in Noord-Holland and Utrecht, meaning that average house values are high relative to employee income in these provinces. Provinces such as Zeeland, Groningen and Limburg show lower ratios, suggesting relatively better affordability. This spatial pattern is relevant because the housing affordability problem is not evenly distributed across the Netherlands. However, the province-level this map does not show the differences inside provinces which could vary a lot. For example, inside cities the affordability is likely different than outside cities.</w:t>
      </w:r>
    </w:p>
    <w:p>
      <w:pPr>
        <w:pStyle w:val="SourceCode"/>
      </w:pPr>
      <w:r>
        <w:rPr>
          <w:rStyle w:val="VerbatimChar"/>
        </w:rPr>
        <w:t xml:space="preserve">## Reading layer `provincie_2023' from data source </w:t>
      </w:r>
      <w:r>
        <w:br/>
      </w:r>
      <w:r>
        <w:rPr>
          <w:rStyle w:val="VerbatimChar"/>
        </w:rPr>
        <w:t xml:space="preserve">##   `https://cartomap.github.io/nl/rd/provincie_2023.geojson' using driver `GeoJSON'</w:t>
      </w:r>
      <w:r>
        <w:br/>
      </w:r>
      <w:r>
        <w:rPr>
          <w:rStyle w:val="VerbatimChar"/>
        </w:rPr>
        <w:t xml:space="preserve">## Simple feature collection with 12 features and 6 fields</w:t>
      </w:r>
      <w:r>
        <w:br/>
      </w:r>
      <w:r>
        <w:rPr>
          <w:rStyle w:val="VerbatimChar"/>
        </w:rPr>
        <w:t xml:space="preserve">## Geometry type: MULTIPOLYGON</w:t>
      </w:r>
      <w:r>
        <w:br/>
      </w:r>
      <w:r>
        <w:rPr>
          <w:rStyle w:val="VerbatimChar"/>
        </w:rPr>
        <w:t xml:space="preserve">## Dimension:     XY</w:t>
      </w:r>
      <w:r>
        <w:br/>
      </w:r>
      <w:r>
        <w:rPr>
          <w:rStyle w:val="VerbatimChar"/>
        </w:rPr>
        <w:t xml:space="preserve">## Bounding box:  xmin: 13565 ymin: 306960 xmax: 277529 ymax: 619172</w:t>
      </w:r>
      <w:r>
        <w:br/>
      </w:r>
      <w:r>
        <w:rPr>
          <w:rStyle w:val="VerbatimChar"/>
        </w:rPr>
        <w:t xml:space="preserve">## Projected CRS: Amersfoort / RD New</w:t>
      </w:r>
    </w:p>
    <w:p>
      <w:pPr>
        <w:pStyle w:val="FirstParagraph"/>
      </w:pPr>
      <w:r>
        <w:drawing>
          <wp:inline>
            <wp:extent cx="5334000" cy="4267200"/>
            <wp:effectExtent b="0" l="0" r="0" t="0"/>
            <wp:docPr descr="" title="" id="25" name="Picture"/>
            <a:graphic>
              <a:graphicData uri="http://schemas.openxmlformats.org/drawingml/2006/picture">
                <pic:pic>
                  <pic:nvPicPr>
                    <pic:cNvPr descr="R-script-template_files/R-script-template_files/figure-docx/Spacial Plot-1.png" id="26" name="Picture"/>
                    <pic:cNvPicPr>
                      <a:picLocks noChangeArrowheads="1" noChangeAspect="1"/>
                    </pic:cNvPicPr>
                  </pic:nvPicPr>
                  <pic:blipFill>
                    <a:blip r:embed="rId2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3.5 Visualize sub-population variation</w:t>
      </w:r>
    </w:p>
    <w:bookmarkStart w:id="30" w:name="what-is-the-poverty-rate-by-state"/>
    <w:p>
      <w:pPr>
        <w:pStyle w:val="Heading3"/>
      </w:pPr>
      <w:r>
        <w:t xml:space="preserve">What is the poverty rate by state?</w:t>
      </w:r>
    </w:p>
    <w:p>
      <w:pPr>
        <w:pStyle w:val="FirstParagraph"/>
      </w:pPr>
      <w:r>
        <w:t xml:space="preserve">The boxplot compares housing affordability across municipalities grouped by the level of urbanization. This is relevant because housing pressure is often expected to be stronger in more urbanized areas, where demand for housing is higher and land is more scarce. The plot shows that affordability ratios differ across urbanization groups, but also that there is substantial variation within each group. This suggests that urbanization matters, but it does not fully explain differences in affordability.</w:t>
      </w:r>
    </w:p>
    <w:p>
      <w:pPr>
        <w:pStyle w:val="BodyText"/>
      </w:pPr>
      <w:r>
        <w:drawing>
          <wp:inline>
            <wp:extent cx="5334000" cy="4267200"/>
            <wp:effectExtent b="0" l="0" r="0" t="0"/>
            <wp:docPr descr="" title="" id="28" name="Picture"/>
            <a:graphic>
              <a:graphicData uri="http://schemas.openxmlformats.org/drawingml/2006/picture">
                <pic:pic>
                  <pic:nvPicPr>
                    <pic:cNvPr descr="R-script-template_files/R-script-template_files/figure-docx/Subpopulation Boxplot-1.png" id="29"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bookmarkEnd w:id="30"/>
    <w:bookmarkEnd w:id="31"/>
    <w:bookmarkStart w:id="35" w:name="event-analysis"/>
    <w:p>
      <w:pPr>
        <w:pStyle w:val="Heading2"/>
      </w:pPr>
      <w:r>
        <w:t xml:space="preserve">3.6 Event analysis</w:t>
      </w:r>
    </w:p>
    <w:p>
      <w:pPr>
        <w:pStyle w:val="FirstParagraph"/>
      </w:pPr>
      <w:r>
        <w:t xml:space="preserve">Interest rates are included as an external event because mortgage financing costs affect housing demand and house prices. Harris (1989) argues that housing prices are influenced by the real cost of mortgage financing, where nominal mortgage rates interact with expectations of future house-price appreciation. This supports using the 2022 increase in mortgage interest rates as a relevant event for analyzing changes in the WOZ-to-income affordability index.</w:t>
      </w:r>
      <w:r>
        <w:t xml:space="preserve"> </w:t>
      </w:r>
      <w:r>
        <w:t xml:space="preserve">In this assignment, 2022 is treated as the turning point because mortgage interest rates started increasing after a period of decreasing rates (De Nederlandsche Bank, 2026). If higher interest rates reduce borrowing capacity and cool housing demand, we would expect WOZ growth to slow relative to income growth after this point. This pattern is visible in the affordability index: affordability worsened until 2023, but improved slightly in 2024 as income growth exceeded WOZ growth.</w:t>
      </w:r>
    </w:p>
    <w:p>
      <w:pPr>
        <w:pStyle w:val="BodyText"/>
      </w:pPr>
      <w:r>
        <w:drawing>
          <wp:inline>
            <wp:extent cx="5334000" cy="4267200"/>
            <wp:effectExtent b="0" l="0" r="0" t="0"/>
            <wp:docPr descr="" title="" id="33" name="Picture"/>
            <a:graphic>
              <a:graphicData uri="http://schemas.openxmlformats.org/drawingml/2006/picture">
                <pic:pic>
                  <pic:nvPicPr>
                    <pic:cNvPr descr="R-script-template_files/R-script-template_files/figure-docx/Affordability Index Plot-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The effect of higher interest rates is not expected to appear immediately in the affordability index. Housing markets adjust with a delay because buyers and sellers need time to change their behavior. Therefore, the affordability index can still increase after the interest-rate turning point in 2022. This helps explain why affordability continues to deteriorate until 2023, before improving slightly in 2024.</w:t>
      </w:r>
    </w:p>
    <w:bookmarkEnd w:id="35"/>
    <w:bookmarkEnd w:id="36"/>
    <w:bookmarkStart w:id="38" w:name="part-4---discussion"/>
    <w:p>
      <w:pPr>
        <w:pStyle w:val="Heading1"/>
      </w:pPr>
      <w:r>
        <w:t xml:space="preserve">Part 4 - Discussion</w:t>
      </w:r>
    </w:p>
    <w:bookmarkStart w:id="37" w:name="discuss-your-findings"/>
    <w:p>
      <w:pPr>
        <w:pStyle w:val="Heading2"/>
      </w:pPr>
      <w:r>
        <w:t xml:space="preserve">4.1 Discuss your findings</w:t>
      </w:r>
    </w:p>
    <w:bookmarkEnd w:id="37"/>
    <w:bookmarkEnd w:id="38"/>
    <w:bookmarkStart w:id="39" w:name="affordability-ratio"/>
    <w:p>
      <w:pPr>
        <w:pStyle w:val="Heading1"/>
      </w:pPr>
      <w:r>
        <w:t xml:space="preserve">Affordability ratio</w:t>
      </w:r>
    </w:p>
    <w:bookmarkEnd w:id="39"/>
    <w:bookmarkStart w:id="40" w:name="growth-gap"/>
    <w:p>
      <w:pPr>
        <w:pStyle w:val="Heading1"/>
      </w:pPr>
      <w:r>
        <w:t xml:space="preserve">Growth gap</w:t>
      </w:r>
    </w:p>
    <w:bookmarkEnd w:id="40"/>
    <w:bookmarkStart w:id="41" w:name="temporal-variation"/>
    <w:p>
      <w:pPr>
        <w:pStyle w:val="Heading1"/>
      </w:pPr>
      <w:r>
        <w:t xml:space="preserve">Temporal variation</w:t>
      </w:r>
    </w:p>
    <w:p>
      <w:pPr>
        <w:pStyle w:val="FirstParagraph"/>
      </w:pPr>
      <w:r>
        <w:t xml:space="preserve">If we look at the temporal variation, which is constructed by indexing the average WOZ value and disposable income per employee using 2015 as a starting point, we see an alignment initially. However, after 2017 there starts to emerge a growth divergence, which spikes until 2023. Although a period of consolidation will follow, the growth gap is unlikely to close.</w:t>
      </w:r>
    </w:p>
    <w:bookmarkEnd w:id="41"/>
    <w:bookmarkStart w:id="42" w:name="spatial-variation"/>
    <w:p>
      <w:pPr>
        <w:pStyle w:val="Heading1"/>
      </w:pPr>
      <w:r>
        <w:t xml:space="preserve">Spatial variation</w:t>
      </w:r>
    </w:p>
    <w:bookmarkEnd w:id="42"/>
    <w:bookmarkStart w:id="43" w:name="sub-population-variation"/>
    <w:p>
      <w:pPr>
        <w:pStyle w:val="Heading1"/>
      </w:pPr>
      <w:r>
        <w:t xml:space="preserve">Sub-population variation</w:t>
      </w:r>
    </w:p>
    <w:bookmarkEnd w:id="43"/>
    <w:bookmarkStart w:id="44" w:name="event"/>
    <w:p>
      <w:pPr>
        <w:pStyle w:val="Heading1"/>
      </w:pPr>
      <w:r>
        <w:t xml:space="preserve">Event</w:t>
      </w:r>
    </w:p>
    <w:bookmarkEnd w:id="44"/>
    <w:bookmarkStart w:id="51" w:name="part-5---reproducibility"/>
    <w:p>
      <w:pPr>
        <w:pStyle w:val="Heading1"/>
      </w:pPr>
      <w:r>
        <w:t xml:space="preserve">Part 5 - Reproducibility</w:t>
      </w:r>
    </w:p>
    <w:bookmarkStart w:id="46" w:name="github-repository-link"/>
    <w:p>
      <w:pPr>
        <w:pStyle w:val="Heading2"/>
      </w:pPr>
      <w:r>
        <w:t xml:space="preserve">5.1 Github repository link</w:t>
      </w:r>
    </w:p>
    <w:p>
      <w:pPr>
        <w:pStyle w:val="FirstParagraph"/>
      </w:pPr>
      <w:hyperlink r:id="rId45">
        <w:r>
          <w:rPr>
            <w:rStyle w:val="Hyperlink"/>
          </w:rPr>
          <w:t xml:space="preserve">https://github.com/JulesBierings/PFE-group6-7-paper-2026</w:t>
        </w:r>
      </w:hyperlink>
    </w:p>
    <w:bookmarkEnd w:id="46"/>
    <w:bookmarkStart w:id="50" w:name="reference-list"/>
    <w:p>
      <w:pPr>
        <w:pStyle w:val="Heading2"/>
      </w:pPr>
      <w:r>
        <w:t xml:space="preserve">5.2 Reference list</w:t>
      </w:r>
    </w:p>
    <w:p>
      <w:pPr>
        <w:pStyle w:val="FirstParagraph"/>
      </w:pPr>
      <w:r>
        <w:t xml:space="preserve">De Nederlandsche Bank. (2026). Woningmarkt.</w:t>
      </w:r>
      <w:r>
        <w:t xml:space="preserve"> </w:t>
      </w:r>
      <w:hyperlink r:id="rId47">
        <w:r>
          <w:rPr>
            <w:rStyle w:val="Hyperlink"/>
          </w:rPr>
          <w:t xml:space="preserve">https://www.dnb.nl/actuele-economische-vraagstukken/woningmarkt/</w:t>
        </w:r>
      </w:hyperlink>
    </w:p>
    <w:p>
      <w:pPr>
        <w:pStyle w:val="BodyText"/>
      </w:pPr>
      <w:r>
        <w:t xml:space="preserve">De Nederlandsche Bank. (2026). Interest rates | Dashboard. Retrieved June 21, 2026, from</w:t>
      </w:r>
      <w:r>
        <w:t xml:space="preserve"> </w:t>
      </w:r>
      <w:hyperlink r:id="rId48">
        <w:r>
          <w:rPr>
            <w:rStyle w:val="Hyperlink"/>
          </w:rPr>
          <w:t xml:space="preserve">https://www.dnb.nl/en/statistics/dashboards/interest-rates/</w:t>
        </w:r>
      </w:hyperlink>
    </w:p>
    <w:p>
      <w:pPr>
        <w:pStyle w:val="BodyText"/>
      </w:pPr>
      <w:r>
        <w:t xml:space="preserve">Harris, J. C. (1989). The effect of real rates of interest on housing prices. Journal of Real Estate Finance and Economics, 2, 47–60.</w:t>
      </w:r>
    </w:p>
    <w:p>
      <w:pPr>
        <w:pStyle w:val="BodyText"/>
      </w:pPr>
      <w:r>
        <w:t xml:space="preserve">Centraal Bureau voor de Statistiek. (2024, 14 mei). Housing costs in the Netherlands higher than in most EU countries.</w:t>
      </w:r>
      <w:r>
        <w:t xml:space="preserve"> </w:t>
      </w:r>
      <w:hyperlink r:id="rId49">
        <w:r>
          <w:rPr>
            <w:rStyle w:val="Hyperlink"/>
          </w:rPr>
          <w:t xml:space="preserve">https://www.cbs.nl/en-gb/news/2024/20/housing-costs-in-the-netherlands-higher-than-in-most-eu-countries</w:t>
        </w:r>
      </w:hyperlink>
    </w:p>
    <w:p>
      <w:pPr>
        <w:pStyle w:val="BodyText"/>
      </w:pPr>
      <w:r>
        <w:t xml:space="preserve">Use APA referencing throughout your document.</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hyperlink" Id="rId45" Target="https://github.com/JulesBierings/PFE-group6-7-paper-2026" TargetMode="External" /><Relationship Type="http://schemas.openxmlformats.org/officeDocument/2006/relationships/hyperlink" Id="rId49" Target="https://www.cbs.nl/en-gb/news/2024/20/housing-costs-in-the-netherlands-higher-than-in-most-eu-countries" TargetMode="External" /><Relationship Type="http://schemas.openxmlformats.org/officeDocument/2006/relationships/hyperlink" Id="rId47" Target="https://www.dnb.nl/actuele-economische-vraagstukken/woningmarkt/" TargetMode="External" /><Relationship Type="http://schemas.openxmlformats.org/officeDocument/2006/relationships/hyperlink" Id="rId48" Target="https://www.dnb.nl/en/statistics/dashboards/interest-rates/" TargetMode="External" /><Relationship Type="http://schemas.openxmlformats.org/officeDocument/2006/relationships/hyperlink" Id="rId11" Target="https://www.mendeley.com/guides/apa-citation-guide/" TargetMode="External" /></Relationships>
</file>

<file path=word/_rels/footnotes.xml.rels><?xml version="1.0" encoding="UTF-8"?><Relationships xmlns="http://schemas.openxmlformats.org/package/2006/relationships"><Relationship Type="http://schemas.openxmlformats.org/officeDocument/2006/relationships/hyperlink" Id="rId45" Target="https://github.com/JulesBierings/PFE-group6-7-paper-2026" TargetMode="External" /><Relationship Type="http://schemas.openxmlformats.org/officeDocument/2006/relationships/hyperlink" Id="rId49" Target="https://www.cbs.nl/en-gb/news/2024/20/housing-costs-in-the-netherlands-higher-than-in-most-eu-countries" TargetMode="External" /><Relationship Type="http://schemas.openxmlformats.org/officeDocument/2006/relationships/hyperlink" Id="rId47" Target="https://www.dnb.nl/actuele-economische-vraagstukken/woningmarkt/" TargetMode="External" /><Relationship Type="http://schemas.openxmlformats.org/officeDocument/2006/relationships/hyperlink" Id="rId48" Target="https://www.dnb.nl/en/statistics/dashboards/interest-rates/" TargetMode="External" /><Relationship Type="http://schemas.openxmlformats.org/officeDocument/2006/relationships/hyperlink" Id="rId11" Target="https://www.mendeley.com/guides/apa-citation-gu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Affordability of Houses in the Netherlands</dc:title>
  <dc:creator>Melvin Hofman; Gijs Stevens; Hidde Voors - 2729826; Max Bergsma; Imad el Hilali; Jules Bierings</dc:creator>
  <cp:keywords/>
  <dcterms:created xsi:type="dcterms:W3CDTF">2026-06-21T13:50:28Z</dcterms:created>
  <dcterms:modified xsi:type="dcterms:W3CDTF">2026-06-21T13:50:28Z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y fmtid="{D5CDD505-2E9C-101B-9397-08002B2CF9AE}" pid="3" name="output">
    <vt:lpwstr/>
  </property>
  <property fmtid="{D5CDD505-2E9C-101B-9397-08002B2CF9AE}" pid="4" name="subtitle">
    <vt:lpwstr>Tutorial 6: Group 7</vt:lpwstr>
  </property>
</Properties>
</file>