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1B06" w14:textId="46677F11" w:rsidR="00CC3A82" w:rsidRDefault="00CC3A82" w:rsidP="009C06DA">
      <w:pPr>
        <w:pStyle w:val="Heading2"/>
        <w:rPr>
          <w:lang w:val="en-US"/>
        </w:rPr>
      </w:pPr>
      <w:bookmarkStart w:id="0" w:name="_Toc124094945"/>
      <w:r>
        <w:rPr>
          <w:lang w:val="en-US"/>
        </w:rPr>
        <w:t>Assumptions for Macro chapter</w:t>
      </w:r>
    </w:p>
    <w:p w14:paraId="6DB1D1F8" w14:textId="26C0C03B" w:rsidR="00CC3A82" w:rsidRPr="00076E37" w:rsidRDefault="00CC3A82" w:rsidP="00CC3A82">
      <w:pPr>
        <w:rPr>
          <w:sz w:val="20"/>
          <w:szCs w:val="20"/>
        </w:rPr>
      </w:pPr>
      <w:r w:rsidRPr="00076E37">
        <w:rPr>
          <w:sz w:val="20"/>
          <w:szCs w:val="20"/>
        </w:rPr>
        <w:t xml:space="preserve">Our approach assumes that infrastructure has a positive externality. Infrastructure investment creates demand for investment goods and contributes to the efficiency the economy. Productivity is a transmission channel </w:t>
      </w:r>
      <w:r w:rsidR="009026FE" w:rsidRPr="00076E37">
        <w:rPr>
          <w:sz w:val="20"/>
          <w:szCs w:val="20"/>
        </w:rPr>
        <w:t xml:space="preserve">for positive externalities </w:t>
      </w:r>
      <w:r w:rsidRPr="00076E37">
        <w:rPr>
          <w:sz w:val="20"/>
          <w:szCs w:val="20"/>
        </w:rPr>
        <w:t xml:space="preserve">of infrastructure investment. </w:t>
      </w:r>
      <w:r w:rsidR="009026FE" w:rsidRPr="00076E37">
        <w:rPr>
          <w:sz w:val="20"/>
          <w:szCs w:val="20"/>
        </w:rPr>
        <w:t>In our approach, t</w:t>
      </w:r>
      <w:r w:rsidRPr="00076E37">
        <w:rPr>
          <w:sz w:val="20"/>
          <w:szCs w:val="20"/>
        </w:rPr>
        <w:t xml:space="preserve">hese productivity impacts are defined for the national economy based on findings </w:t>
      </w:r>
      <w:r w:rsidR="00912BD0" w:rsidRPr="00076E37">
        <w:rPr>
          <w:sz w:val="20"/>
          <w:szCs w:val="20"/>
        </w:rPr>
        <w:t xml:space="preserve">in </w:t>
      </w:r>
      <w:r w:rsidRPr="00076E37">
        <w:rPr>
          <w:sz w:val="20"/>
          <w:szCs w:val="20"/>
        </w:rPr>
        <w:t xml:space="preserve">economic literature. </w:t>
      </w:r>
    </w:p>
    <w:p w14:paraId="2141A7FB" w14:textId="77777777" w:rsidR="00B60184" w:rsidRDefault="00965CD7" w:rsidP="00146961">
      <w:pPr>
        <w:rPr>
          <w:sz w:val="20"/>
          <w:szCs w:val="20"/>
        </w:rPr>
      </w:pPr>
      <w:r w:rsidRPr="00076E37">
        <w:rPr>
          <w:sz w:val="20"/>
          <w:szCs w:val="20"/>
        </w:rPr>
        <w:t>For</w:t>
      </w:r>
      <w:r w:rsidRPr="00076E37">
        <w:rPr>
          <w:b/>
          <w:bCs/>
          <w:sz w:val="20"/>
          <w:szCs w:val="20"/>
        </w:rPr>
        <w:t xml:space="preserve"> </w:t>
      </w:r>
      <w:r w:rsidR="000E2EE0" w:rsidRPr="00076E37">
        <w:rPr>
          <w:b/>
          <w:bCs/>
          <w:color w:val="00B050"/>
          <w:sz w:val="20"/>
          <w:szCs w:val="20"/>
        </w:rPr>
        <w:t>t</w:t>
      </w:r>
      <w:r w:rsidRPr="00076E37">
        <w:rPr>
          <w:b/>
          <w:bCs/>
          <w:color w:val="00B050"/>
          <w:sz w:val="20"/>
          <w:szCs w:val="20"/>
        </w:rPr>
        <w:t>ransport</w:t>
      </w:r>
      <w:r w:rsidRPr="00076E37">
        <w:rPr>
          <w:color w:val="00B050"/>
          <w:sz w:val="20"/>
          <w:szCs w:val="20"/>
        </w:rPr>
        <w:t xml:space="preserve"> </w:t>
      </w:r>
      <w:r w:rsidRPr="00076E37">
        <w:rPr>
          <w:sz w:val="20"/>
          <w:szCs w:val="20"/>
        </w:rPr>
        <w:t xml:space="preserve">we distinguish </w:t>
      </w:r>
      <w:r w:rsidR="00912BD0" w:rsidRPr="00076E37">
        <w:rPr>
          <w:sz w:val="20"/>
          <w:szCs w:val="20"/>
        </w:rPr>
        <w:t xml:space="preserve">impacts from expanded accessibility and from the improvement of road safety. In the former case productivity impacts are estimated for </w:t>
      </w:r>
      <w:r w:rsidRPr="00076E37">
        <w:rPr>
          <w:b/>
          <w:bCs/>
          <w:color w:val="00B050"/>
          <w:sz w:val="20"/>
          <w:szCs w:val="20"/>
        </w:rPr>
        <w:t>expansion and rehabilitation</w:t>
      </w:r>
      <w:r w:rsidRPr="00076E37">
        <w:rPr>
          <w:color w:val="00B050"/>
          <w:sz w:val="20"/>
          <w:szCs w:val="20"/>
        </w:rPr>
        <w:t xml:space="preserve"> </w:t>
      </w:r>
      <w:r w:rsidRPr="00076E37">
        <w:rPr>
          <w:sz w:val="20"/>
          <w:szCs w:val="20"/>
        </w:rPr>
        <w:t xml:space="preserve">of urban roads, of rural roads, </w:t>
      </w:r>
      <w:r w:rsidR="00912BD0" w:rsidRPr="00076E37">
        <w:rPr>
          <w:sz w:val="20"/>
          <w:szCs w:val="20"/>
        </w:rPr>
        <w:t xml:space="preserve">and </w:t>
      </w:r>
      <w:r w:rsidRPr="00076E37">
        <w:rPr>
          <w:sz w:val="20"/>
          <w:szCs w:val="20"/>
        </w:rPr>
        <w:t>from expansion of public transport services (BRT and rail networks)</w:t>
      </w:r>
      <w:r w:rsidR="00912BD0" w:rsidRPr="00076E37">
        <w:rPr>
          <w:sz w:val="20"/>
          <w:szCs w:val="20"/>
        </w:rPr>
        <w:t>. These are based on estimated Total Factor Productivity impacts of</w:t>
      </w:r>
      <w:r w:rsidR="00146961" w:rsidRPr="00076E37">
        <w:rPr>
          <w:sz w:val="20"/>
          <w:szCs w:val="20"/>
        </w:rPr>
        <w:t xml:space="preserve"> </w:t>
      </w:r>
      <w:r w:rsidR="00B60184">
        <w:rPr>
          <w:sz w:val="20"/>
          <w:szCs w:val="20"/>
        </w:rPr>
        <w:t xml:space="preserve">relative </w:t>
      </w:r>
      <w:r w:rsidR="00146961" w:rsidRPr="00076E37">
        <w:rPr>
          <w:sz w:val="20"/>
          <w:szCs w:val="20"/>
        </w:rPr>
        <w:t>road and rail</w:t>
      </w:r>
      <w:r w:rsidR="00912BD0" w:rsidRPr="00076E37">
        <w:rPr>
          <w:sz w:val="20"/>
          <w:szCs w:val="20"/>
        </w:rPr>
        <w:t xml:space="preserve"> infrastructure expansion in South Africa by </w:t>
      </w:r>
      <w:proofErr w:type="spellStart"/>
      <w:r w:rsidRPr="00076E37">
        <w:rPr>
          <w:sz w:val="20"/>
          <w:szCs w:val="20"/>
          <w:highlight w:val="yellow"/>
        </w:rPr>
        <w:t>Fedderke</w:t>
      </w:r>
      <w:proofErr w:type="spellEnd"/>
      <w:r w:rsidRPr="00076E37">
        <w:rPr>
          <w:sz w:val="20"/>
          <w:szCs w:val="20"/>
          <w:highlight w:val="yellow"/>
        </w:rPr>
        <w:t xml:space="preserve"> and </w:t>
      </w:r>
      <w:proofErr w:type="spellStart"/>
      <w:r w:rsidRPr="00076E37">
        <w:rPr>
          <w:sz w:val="20"/>
          <w:szCs w:val="20"/>
          <w:highlight w:val="yellow"/>
        </w:rPr>
        <w:t>Bogetic</w:t>
      </w:r>
      <w:proofErr w:type="spellEnd"/>
      <w:r w:rsidRPr="00076E37">
        <w:rPr>
          <w:sz w:val="20"/>
          <w:szCs w:val="20"/>
          <w:highlight w:val="yellow"/>
        </w:rPr>
        <w:t xml:space="preserve"> (2009)</w:t>
      </w:r>
      <w:r w:rsidR="00912BD0" w:rsidRPr="00076E37">
        <w:rPr>
          <w:sz w:val="20"/>
          <w:szCs w:val="20"/>
        </w:rPr>
        <w:t>.</w:t>
      </w:r>
      <w:r w:rsidR="00912BD0" w:rsidRPr="00076E37">
        <w:rPr>
          <w:rStyle w:val="FootnoteReference"/>
          <w:sz w:val="20"/>
          <w:szCs w:val="20"/>
        </w:rPr>
        <w:footnoteReference w:id="1"/>
      </w:r>
      <w:r w:rsidRPr="00076E37">
        <w:rPr>
          <w:sz w:val="20"/>
          <w:szCs w:val="20"/>
        </w:rPr>
        <w:t xml:space="preserve"> </w:t>
      </w:r>
      <w:r w:rsidR="00B60184">
        <w:rPr>
          <w:sz w:val="20"/>
          <w:szCs w:val="20"/>
        </w:rPr>
        <w:t xml:space="preserve">For rural roads the rural access index is used to normalize the additional road network leading to people getting all-weather road access to the major urban centres of South Africa. </w:t>
      </w:r>
    </w:p>
    <w:p w14:paraId="15B3F754" w14:textId="1F692F20" w:rsidR="00146961" w:rsidRPr="00076E37" w:rsidRDefault="00146961" w:rsidP="00146961">
      <w:pPr>
        <w:rPr>
          <w:sz w:val="20"/>
          <w:szCs w:val="20"/>
        </w:rPr>
      </w:pPr>
      <w:r w:rsidRPr="00076E37">
        <w:rPr>
          <w:sz w:val="20"/>
          <w:szCs w:val="20"/>
        </w:rPr>
        <w:t xml:space="preserve">Concerning </w:t>
      </w:r>
      <w:r w:rsidRPr="00076E37">
        <w:rPr>
          <w:b/>
          <w:bCs/>
          <w:color w:val="00B050"/>
          <w:sz w:val="20"/>
          <w:szCs w:val="20"/>
        </w:rPr>
        <w:t xml:space="preserve">road </w:t>
      </w:r>
      <w:proofErr w:type="gramStart"/>
      <w:r w:rsidRPr="00076E37">
        <w:rPr>
          <w:b/>
          <w:bCs/>
          <w:color w:val="00B050"/>
          <w:sz w:val="20"/>
          <w:szCs w:val="20"/>
        </w:rPr>
        <w:t>safety</w:t>
      </w:r>
      <w:proofErr w:type="gramEnd"/>
      <w:r w:rsidRPr="00076E37">
        <w:rPr>
          <w:sz w:val="20"/>
          <w:szCs w:val="20"/>
        </w:rPr>
        <w:t xml:space="preserve"> </w:t>
      </w:r>
      <w:r w:rsidR="000E2EE0" w:rsidRPr="00076E37">
        <w:rPr>
          <w:sz w:val="20"/>
          <w:szCs w:val="20"/>
        </w:rPr>
        <w:t>t</w:t>
      </w:r>
      <w:r w:rsidRPr="00076E37">
        <w:rPr>
          <w:sz w:val="20"/>
          <w:szCs w:val="20"/>
        </w:rPr>
        <w:t>he central assumption is that bringing 75% of roads to 3-star rating achieves half of the SDG 3.6 objective for road safety</w:t>
      </w:r>
      <w:r w:rsidR="000E2EE0" w:rsidRPr="00076E37">
        <w:rPr>
          <w:sz w:val="20"/>
          <w:szCs w:val="20"/>
        </w:rPr>
        <w:t xml:space="preserve"> - </w:t>
      </w:r>
      <w:r w:rsidRPr="00076E37">
        <w:rPr>
          <w:sz w:val="20"/>
          <w:szCs w:val="20"/>
        </w:rPr>
        <w:t>a reduction in accident-related mortality</w:t>
      </w:r>
      <w:r w:rsidR="000E2EE0" w:rsidRPr="00076E37">
        <w:rPr>
          <w:sz w:val="20"/>
          <w:szCs w:val="20"/>
        </w:rPr>
        <w:t>.</w:t>
      </w:r>
      <w:r w:rsidR="000E2EE0" w:rsidRPr="00076E37">
        <w:rPr>
          <w:rStyle w:val="FootnoteReference"/>
          <w:sz w:val="20"/>
          <w:szCs w:val="20"/>
        </w:rPr>
        <w:footnoteReference w:id="2"/>
      </w:r>
      <w:r w:rsidR="000E2EE0" w:rsidRPr="00076E37">
        <w:rPr>
          <w:sz w:val="20"/>
          <w:szCs w:val="20"/>
        </w:rPr>
        <w:t xml:space="preserve"> The resulting </w:t>
      </w:r>
      <w:r w:rsidRPr="00076E37">
        <w:rPr>
          <w:sz w:val="20"/>
          <w:szCs w:val="20"/>
        </w:rPr>
        <w:t>improved adult survival rates</w:t>
      </w:r>
      <w:r w:rsidR="000E2EE0" w:rsidRPr="00076E37">
        <w:rPr>
          <w:sz w:val="20"/>
          <w:szCs w:val="20"/>
        </w:rPr>
        <w:t xml:space="preserve"> are </w:t>
      </w:r>
      <w:r w:rsidRPr="00076E37">
        <w:rPr>
          <w:sz w:val="20"/>
          <w:szCs w:val="20"/>
        </w:rPr>
        <w:t>translat</w:t>
      </w:r>
      <w:r w:rsidR="000E2EE0" w:rsidRPr="00076E37">
        <w:rPr>
          <w:sz w:val="20"/>
          <w:szCs w:val="20"/>
        </w:rPr>
        <w:t>ed</w:t>
      </w:r>
      <w:r w:rsidRPr="00076E37">
        <w:rPr>
          <w:sz w:val="20"/>
          <w:szCs w:val="20"/>
        </w:rPr>
        <w:t xml:space="preserve"> to productivity impacts based on </w:t>
      </w:r>
      <w:r w:rsidRPr="00076E37">
        <w:rPr>
          <w:sz w:val="20"/>
          <w:szCs w:val="20"/>
          <w:highlight w:val="yellow"/>
        </w:rPr>
        <w:t>Bloom et al (</w:t>
      </w:r>
      <w:r w:rsidR="00360AF6" w:rsidRPr="00076E37">
        <w:rPr>
          <w:sz w:val="20"/>
          <w:szCs w:val="20"/>
          <w:highlight w:val="yellow"/>
        </w:rPr>
        <w:t>2019</w:t>
      </w:r>
      <w:r w:rsidRPr="00076E37">
        <w:rPr>
          <w:sz w:val="20"/>
          <w:szCs w:val="20"/>
        </w:rPr>
        <w:t>)</w:t>
      </w:r>
      <w:r w:rsidR="000E2EE0" w:rsidRPr="00076E37">
        <w:rPr>
          <w:sz w:val="20"/>
          <w:szCs w:val="20"/>
        </w:rPr>
        <w:t>, similar to the approach for disease-reducing productivity impacts identified for Water &amp; Sanitation</w:t>
      </w:r>
      <w:r w:rsidRPr="00076E37">
        <w:rPr>
          <w:sz w:val="20"/>
          <w:szCs w:val="20"/>
        </w:rPr>
        <w:t>.</w:t>
      </w:r>
      <w:r w:rsidRPr="00076E37">
        <w:rPr>
          <w:rStyle w:val="FootnoteReference"/>
          <w:sz w:val="20"/>
          <w:szCs w:val="20"/>
        </w:rPr>
        <w:footnoteReference w:id="3"/>
      </w:r>
      <w:r w:rsidRPr="00076E37">
        <w:rPr>
          <w:sz w:val="20"/>
          <w:szCs w:val="20"/>
        </w:rPr>
        <w:t xml:space="preserve"> </w:t>
      </w:r>
    </w:p>
    <w:p w14:paraId="6C65EB8D" w14:textId="0D6D788F" w:rsidR="00965CD7" w:rsidRDefault="00965CD7" w:rsidP="00CC3A82">
      <w:pPr>
        <w:rPr>
          <w:sz w:val="20"/>
          <w:szCs w:val="20"/>
          <w:lang w:val="en-US"/>
        </w:rPr>
      </w:pPr>
      <w:r w:rsidRPr="00076E37">
        <w:rPr>
          <w:sz w:val="20"/>
          <w:szCs w:val="20"/>
        </w:rPr>
        <w:t xml:space="preserve">For </w:t>
      </w:r>
      <w:r w:rsidR="000E2EE0" w:rsidRPr="00076E37">
        <w:rPr>
          <w:b/>
          <w:bCs/>
          <w:color w:val="00B050"/>
          <w:sz w:val="20"/>
          <w:szCs w:val="20"/>
        </w:rPr>
        <w:t>w</w:t>
      </w:r>
      <w:r w:rsidRPr="00076E37">
        <w:rPr>
          <w:b/>
          <w:bCs/>
          <w:color w:val="00B050"/>
          <w:sz w:val="20"/>
          <w:szCs w:val="20"/>
        </w:rPr>
        <w:t xml:space="preserve">ater and </w:t>
      </w:r>
      <w:r w:rsidR="000E2EE0" w:rsidRPr="00076E37">
        <w:rPr>
          <w:b/>
          <w:bCs/>
          <w:color w:val="00B050"/>
          <w:sz w:val="20"/>
          <w:szCs w:val="20"/>
        </w:rPr>
        <w:t>s</w:t>
      </w:r>
      <w:r w:rsidRPr="00076E37">
        <w:rPr>
          <w:b/>
          <w:bCs/>
          <w:color w:val="00B050"/>
          <w:sz w:val="20"/>
          <w:szCs w:val="20"/>
        </w:rPr>
        <w:t>anitation</w:t>
      </w:r>
      <w:r w:rsidR="000E2EE0" w:rsidRPr="00076E37">
        <w:rPr>
          <w:color w:val="00B050"/>
          <w:sz w:val="20"/>
          <w:szCs w:val="20"/>
        </w:rPr>
        <w:t xml:space="preserve"> </w:t>
      </w:r>
      <w:r w:rsidR="000E2EE0" w:rsidRPr="00076E37">
        <w:rPr>
          <w:sz w:val="20"/>
          <w:szCs w:val="20"/>
        </w:rPr>
        <w:t xml:space="preserve">two distinct mechanisms for productivity impacts are identified as well. Firstly, </w:t>
      </w:r>
      <w:r w:rsidR="000E2EE0" w:rsidRPr="00076E37">
        <w:rPr>
          <w:b/>
          <w:bCs/>
          <w:color w:val="00B050"/>
          <w:sz w:val="20"/>
          <w:szCs w:val="20"/>
        </w:rPr>
        <w:t>improved access</w:t>
      </w:r>
      <w:r w:rsidR="000E2EE0" w:rsidRPr="00076E37">
        <w:rPr>
          <w:color w:val="00B050"/>
          <w:sz w:val="20"/>
          <w:szCs w:val="20"/>
        </w:rPr>
        <w:t xml:space="preserve"> </w:t>
      </w:r>
      <w:r w:rsidR="000E2EE0" w:rsidRPr="00076E37">
        <w:rPr>
          <w:sz w:val="20"/>
          <w:szCs w:val="20"/>
        </w:rPr>
        <w:t xml:space="preserve">to safely managed water supply, sanitation, and hand washing hygiene allows to reduce diarrhoea-related disease and mortality. </w:t>
      </w:r>
      <w:proofErr w:type="spellStart"/>
      <w:r w:rsidR="0059531B" w:rsidRPr="00076E37">
        <w:rPr>
          <w:sz w:val="20"/>
          <w:szCs w:val="20"/>
          <w:highlight w:val="yellow"/>
        </w:rPr>
        <w:t>Prüss-Ustün</w:t>
      </w:r>
      <w:proofErr w:type="spellEnd"/>
      <w:r w:rsidR="0059531B" w:rsidRPr="00076E37">
        <w:rPr>
          <w:sz w:val="20"/>
          <w:szCs w:val="20"/>
          <w:highlight w:val="yellow"/>
        </w:rPr>
        <w:t xml:space="preserve"> et al. (2014</w:t>
      </w:r>
      <w:r w:rsidR="0059531B" w:rsidRPr="00076E37">
        <w:rPr>
          <w:sz w:val="20"/>
          <w:szCs w:val="20"/>
        </w:rPr>
        <w:t xml:space="preserve">) estimate the total of preventable Water, Sanitation &amp; Hygiene deaths in South Africa. Their estimate translates to </w:t>
      </w:r>
      <w:r w:rsidR="00730B74" w:rsidRPr="00076E37">
        <w:rPr>
          <w:sz w:val="20"/>
          <w:szCs w:val="20"/>
        </w:rPr>
        <w:t xml:space="preserve">3.8 thousand of these adult </w:t>
      </w:r>
      <w:r w:rsidR="0059531B" w:rsidRPr="00076E37">
        <w:rPr>
          <w:sz w:val="20"/>
          <w:szCs w:val="20"/>
        </w:rPr>
        <w:t xml:space="preserve">diarrhoea-related deaths among </w:t>
      </w:r>
      <w:r w:rsidR="00730B74" w:rsidRPr="00076E37">
        <w:rPr>
          <w:sz w:val="20"/>
          <w:szCs w:val="20"/>
        </w:rPr>
        <w:t xml:space="preserve">people of working age (15-64) </w:t>
      </w:r>
      <w:r w:rsidR="0059531B" w:rsidRPr="00076E37">
        <w:rPr>
          <w:sz w:val="20"/>
          <w:szCs w:val="20"/>
        </w:rPr>
        <w:t xml:space="preserve">in 2020 </w:t>
      </w:r>
      <w:r w:rsidR="00730B74" w:rsidRPr="00076E37">
        <w:rPr>
          <w:sz w:val="20"/>
          <w:szCs w:val="20"/>
        </w:rPr>
        <w:t>and a diarrhoea related death rate of 0.096 deaths per thousand persons, and to an increase of 0.57% in adult survival ratio</w:t>
      </w:r>
      <w:r w:rsidR="0059531B" w:rsidRPr="00076E37">
        <w:rPr>
          <w:sz w:val="20"/>
          <w:szCs w:val="20"/>
        </w:rPr>
        <w:t>.</w:t>
      </w:r>
      <w:r w:rsidR="0059531B" w:rsidRPr="00076E37">
        <w:rPr>
          <w:rStyle w:val="FootnoteReference"/>
          <w:sz w:val="20"/>
          <w:szCs w:val="20"/>
        </w:rPr>
        <w:footnoteReference w:id="4"/>
      </w:r>
      <w:r w:rsidR="00360AF6" w:rsidRPr="00076E37">
        <w:rPr>
          <w:sz w:val="20"/>
          <w:szCs w:val="20"/>
        </w:rPr>
        <w:t xml:space="preserve"> </w:t>
      </w:r>
      <w:r w:rsidR="00852EE0">
        <w:rPr>
          <w:sz w:val="20"/>
          <w:szCs w:val="20"/>
        </w:rPr>
        <w:t xml:space="preserve">The increase in adult survival rate </w:t>
      </w:r>
      <w:r w:rsidR="00852EE0" w:rsidRPr="001C44AD">
        <w:rPr>
          <w:sz w:val="20"/>
          <w:szCs w:val="20"/>
        </w:rPr>
        <w:t>leads to a 0.31% higher TFP by 2030 for full achievement of water &amp; sanitation SDG’s in South Africa</w:t>
      </w:r>
      <w:r w:rsidR="00852EE0">
        <w:rPr>
          <w:sz w:val="20"/>
          <w:szCs w:val="20"/>
        </w:rPr>
        <w:t xml:space="preserve">, based on insights from </w:t>
      </w:r>
      <w:r w:rsidR="00360AF6" w:rsidRPr="00076E37">
        <w:rPr>
          <w:sz w:val="20"/>
          <w:szCs w:val="20"/>
          <w:highlight w:val="yellow"/>
        </w:rPr>
        <w:t>Bloom et al. (2019</w:t>
      </w:r>
      <w:r w:rsidR="00360AF6" w:rsidRPr="00076E37">
        <w:rPr>
          <w:sz w:val="20"/>
          <w:szCs w:val="20"/>
        </w:rPr>
        <w:t xml:space="preserve">), while </w:t>
      </w:r>
      <w:r w:rsidR="00360AF6" w:rsidRPr="00076E37">
        <w:rPr>
          <w:sz w:val="20"/>
          <w:szCs w:val="20"/>
          <w:lang w:val="en-US"/>
        </w:rPr>
        <w:t>Universal Basic Service levels would lead to a TFP improvement of  0.22% TFP improvement by 2030.</w:t>
      </w:r>
      <w:r w:rsidR="00360AF6" w:rsidRPr="00076E37">
        <w:rPr>
          <w:rStyle w:val="FootnoteReference"/>
          <w:sz w:val="20"/>
          <w:szCs w:val="20"/>
          <w:lang w:val="en-US"/>
        </w:rPr>
        <w:footnoteReference w:id="5"/>
      </w:r>
    </w:p>
    <w:p w14:paraId="2E0CA7D9" w14:textId="0C1EAFB9" w:rsidR="006748A2" w:rsidRPr="00076E37" w:rsidRDefault="00B60184" w:rsidP="008C2C11">
      <w:pPr>
        <w:rPr>
          <w:sz w:val="20"/>
          <w:szCs w:val="20"/>
        </w:rPr>
      </w:pPr>
      <w:r>
        <w:rPr>
          <w:sz w:val="20"/>
          <w:szCs w:val="20"/>
          <w:lang w:val="en-US"/>
        </w:rPr>
        <w:t>Secondly, f</w:t>
      </w:r>
      <w:r w:rsidR="00AF0971">
        <w:rPr>
          <w:sz w:val="20"/>
          <w:szCs w:val="20"/>
          <w:lang w:val="en-US"/>
        </w:rPr>
        <w:t xml:space="preserve">or </w:t>
      </w:r>
      <w:r w:rsidR="006748A2" w:rsidRPr="00076E37">
        <w:rPr>
          <w:b/>
          <w:bCs/>
          <w:color w:val="00B050"/>
          <w:sz w:val="20"/>
          <w:szCs w:val="20"/>
          <w:lang w:val="en-US"/>
        </w:rPr>
        <w:t>r</w:t>
      </w:r>
      <w:r w:rsidR="006748A2" w:rsidRPr="00076E37">
        <w:rPr>
          <w:b/>
          <w:bCs/>
          <w:color w:val="00B050"/>
          <w:sz w:val="20"/>
          <w:szCs w:val="20"/>
          <w:lang w:val="en-US"/>
        </w:rPr>
        <w:t xml:space="preserve">educed demand on freshwater resources &amp; </w:t>
      </w:r>
      <w:r w:rsidR="006748A2" w:rsidRPr="00076E37">
        <w:rPr>
          <w:b/>
          <w:bCs/>
          <w:color w:val="00B050"/>
          <w:sz w:val="20"/>
          <w:szCs w:val="20"/>
          <w:lang w:val="en-US"/>
        </w:rPr>
        <w:t>i</w:t>
      </w:r>
      <w:r w:rsidR="006748A2" w:rsidRPr="00076E37">
        <w:rPr>
          <w:b/>
          <w:bCs/>
          <w:color w:val="00B050"/>
          <w:sz w:val="20"/>
          <w:szCs w:val="20"/>
          <w:lang w:val="en-US"/>
        </w:rPr>
        <w:t>ncreased water resilience</w:t>
      </w:r>
      <w:r w:rsidR="006748A2" w:rsidRPr="00076E37">
        <w:rPr>
          <w:b/>
          <w:bCs/>
          <w:color w:val="00B050"/>
          <w:sz w:val="20"/>
          <w:szCs w:val="20"/>
          <w:lang w:val="en-US"/>
        </w:rPr>
        <w:t xml:space="preserve"> </w:t>
      </w:r>
      <w:r w:rsidR="006748A2" w:rsidRPr="00076E37">
        <w:rPr>
          <w:sz w:val="20"/>
          <w:szCs w:val="20"/>
          <w:lang w:val="en-US"/>
        </w:rPr>
        <w:t>t</w:t>
      </w:r>
      <w:r w:rsidR="006748A2" w:rsidRPr="006748A2">
        <w:rPr>
          <w:sz w:val="20"/>
          <w:szCs w:val="20"/>
        </w:rPr>
        <w:t>he key assumption is that reduction of water consumption per capita will allow to avoid structural water shortages</w:t>
      </w:r>
      <w:r w:rsidR="006748A2">
        <w:rPr>
          <w:sz w:val="20"/>
          <w:szCs w:val="20"/>
        </w:rPr>
        <w:t xml:space="preserve">. Water shortages </w:t>
      </w:r>
      <w:r w:rsidR="006748A2" w:rsidRPr="006748A2">
        <w:rPr>
          <w:sz w:val="20"/>
          <w:szCs w:val="20"/>
        </w:rPr>
        <w:t xml:space="preserve">would primarily hit agricultural and other productive sectors to spare water supply to citizens. The reference </w:t>
      </w:r>
      <w:r w:rsidR="006748A2">
        <w:rPr>
          <w:sz w:val="20"/>
          <w:szCs w:val="20"/>
        </w:rPr>
        <w:t xml:space="preserve">or </w:t>
      </w:r>
      <w:r w:rsidR="006748A2" w:rsidRPr="006748A2">
        <w:rPr>
          <w:sz w:val="20"/>
          <w:szCs w:val="20"/>
        </w:rPr>
        <w:t xml:space="preserve">status quo scenario sees </w:t>
      </w:r>
      <w:r w:rsidR="006748A2">
        <w:rPr>
          <w:sz w:val="20"/>
          <w:szCs w:val="20"/>
        </w:rPr>
        <w:t xml:space="preserve">South Africa’s </w:t>
      </w:r>
      <w:r w:rsidR="006748A2" w:rsidRPr="006748A2">
        <w:rPr>
          <w:sz w:val="20"/>
          <w:szCs w:val="20"/>
        </w:rPr>
        <w:t xml:space="preserve">water consumption grow </w:t>
      </w:r>
      <w:r w:rsidR="006748A2">
        <w:rPr>
          <w:sz w:val="20"/>
          <w:szCs w:val="20"/>
        </w:rPr>
        <w:t xml:space="preserve">and </w:t>
      </w:r>
      <w:r w:rsidR="006748A2" w:rsidRPr="006748A2">
        <w:rPr>
          <w:sz w:val="20"/>
          <w:szCs w:val="20"/>
        </w:rPr>
        <w:t xml:space="preserve">is expected to lead to an average </w:t>
      </w:r>
      <w:r w:rsidR="006748A2" w:rsidRPr="006748A2">
        <w:rPr>
          <w:sz w:val="20"/>
          <w:szCs w:val="20"/>
        </w:rPr>
        <w:lastRenderedPageBreak/>
        <w:t>water deficit of 17%</w:t>
      </w:r>
      <w:r w:rsidR="006748A2">
        <w:rPr>
          <w:sz w:val="20"/>
          <w:szCs w:val="20"/>
        </w:rPr>
        <w:t>.</w:t>
      </w:r>
      <w:r w:rsidR="006748A2">
        <w:rPr>
          <w:rStyle w:val="FootnoteReference"/>
          <w:sz w:val="20"/>
          <w:szCs w:val="20"/>
        </w:rPr>
        <w:footnoteReference w:id="6"/>
      </w:r>
      <w:r w:rsidR="006748A2">
        <w:rPr>
          <w:sz w:val="20"/>
          <w:szCs w:val="20"/>
        </w:rPr>
        <w:t xml:space="preserve"> Based on </w:t>
      </w:r>
      <w:proofErr w:type="spellStart"/>
      <w:r w:rsidR="006748A2" w:rsidRPr="00076E37">
        <w:rPr>
          <w:sz w:val="20"/>
          <w:szCs w:val="20"/>
          <w:highlight w:val="yellow"/>
        </w:rPr>
        <w:t>Ntombele</w:t>
      </w:r>
      <w:proofErr w:type="spellEnd"/>
      <w:r w:rsidR="006748A2" w:rsidRPr="00076E37">
        <w:rPr>
          <w:sz w:val="20"/>
          <w:szCs w:val="20"/>
          <w:highlight w:val="yellow"/>
        </w:rPr>
        <w:t xml:space="preserve"> et al (2017</w:t>
      </w:r>
      <w:r w:rsidR="006748A2" w:rsidRPr="006748A2">
        <w:rPr>
          <w:sz w:val="20"/>
          <w:szCs w:val="20"/>
        </w:rPr>
        <w:t>)</w:t>
      </w:r>
      <w:r w:rsidR="006748A2">
        <w:rPr>
          <w:rStyle w:val="FootnoteReference"/>
          <w:sz w:val="20"/>
          <w:szCs w:val="20"/>
        </w:rPr>
        <w:footnoteReference w:id="7"/>
      </w:r>
      <w:r w:rsidR="008C2C11">
        <w:rPr>
          <w:sz w:val="20"/>
          <w:szCs w:val="20"/>
        </w:rPr>
        <w:t>.</w:t>
      </w:r>
      <w:bookmarkStart w:id="1" w:name="_Hlk126363227"/>
      <w:r w:rsidR="008C2C11">
        <w:rPr>
          <w:sz w:val="20"/>
          <w:szCs w:val="20"/>
        </w:rPr>
        <w:t xml:space="preserve"> T</w:t>
      </w:r>
      <w:r w:rsidR="008C2C11" w:rsidRPr="006748A2">
        <w:rPr>
          <w:sz w:val="20"/>
          <w:szCs w:val="20"/>
        </w:rPr>
        <w:t xml:space="preserve">he average structural water shortage is </w:t>
      </w:r>
      <w:r w:rsidR="008C2C11">
        <w:rPr>
          <w:sz w:val="20"/>
          <w:szCs w:val="20"/>
        </w:rPr>
        <w:t xml:space="preserve">estimated for each scenario based on comparing per capita water consumption levels and this average shortage is </w:t>
      </w:r>
      <w:r w:rsidR="008C2C11" w:rsidRPr="006748A2">
        <w:rPr>
          <w:sz w:val="20"/>
          <w:szCs w:val="20"/>
        </w:rPr>
        <w:t>equate</w:t>
      </w:r>
      <w:r w:rsidR="008C2C11">
        <w:rPr>
          <w:sz w:val="20"/>
          <w:szCs w:val="20"/>
        </w:rPr>
        <w:t>d</w:t>
      </w:r>
      <w:r w:rsidR="008C2C11" w:rsidRPr="006748A2">
        <w:rPr>
          <w:sz w:val="20"/>
          <w:szCs w:val="20"/>
        </w:rPr>
        <w:t xml:space="preserve"> to a shock pro rata </w:t>
      </w:r>
      <w:r w:rsidR="008C2C11">
        <w:rPr>
          <w:sz w:val="20"/>
          <w:szCs w:val="20"/>
        </w:rPr>
        <w:t xml:space="preserve">to the economic shock of </w:t>
      </w:r>
      <w:r w:rsidR="008C2C11" w:rsidRPr="006748A2">
        <w:rPr>
          <w:sz w:val="20"/>
          <w:szCs w:val="20"/>
        </w:rPr>
        <w:t>the 2015/2016 drought</w:t>
      </w:r>
      <w:r w:rsidR="008C2C11">
        <w:rPr>
          <w:sz w:val="20"/>
          <w:szCs w:val="20"/>
        </w:rPr>
        <w:t>.</w:t>
      </w:r>
      <w:r w:rsidR="008C2C11">
        <w:rPr>
          <w:rStyle w:val="FootnoteReference"/>
          <w:sz w:val="20"/>
          <w:szCs w:val="20"/>
        </w:rPr>
        <w:footnoteReference w:id="8"/>
      </w:r>
      <w:bookmarkEnd w:id="1"/>
      <w:r w:rsidR="008C2C11">
        <w:rPr>
          <w:sz w:val="20"/>
          <w:szCs w:val="20"/>
        </w:rPr>
        <w:t xml:space="preserve"> In this way </w:t>
      </w:r>
      <w:r w:rsidR="006748A2" w:rsidRPr="006748A2">
        <w:rPr>
          <w:sz w:val="20"/>
          <w:szCs w:val="20"/>
        </w:rPr>
        <w:t xml:space="preserve">one arrives at a TFP impact by 2030 of: +0.89% for 1BW and 2BW scenarios, and of +0.49% for 2BF vs </w:t>
      </w:r>
      <w:r w:rsidR="008C2C11">
        <w:rPr>
          <w:sz w:val="20"/>
          <w:szCs w:val="20"/>
        </w:rPr>
        <w:t xml:space="preserve">the No investment </w:t>
      </w:r>
      <w:r w:rsidR="006748A2" w:rsidRPr="006748A2">
        <w:rPr>
          <w:sz w:val="20"/>
          <w:szCs w:val="20"/>
        </w:rPr>
        <w:t>Ref</w:t>
      </w:r>
      <w:r w:rsidR="008C2C11">
        <w:rPr>
          <w:sz w:val="20"/>
          <w:szCs w:val="20"/>
        </w:rPr>
        <w:t>erence</w:t>
      </w:r>
      <w:r w:rsidR="006748A2" w:rsidRPr="006748A2">
        <w:rPr>
          <w:sz w:val="20"/>
          <w:szCs w:val="20"/>
        </w:rPr>
        <w:t>.</w:t>
      </w:r>
    </w:p>
    <w:p w14:paraId="73B03200" w14:textId="5F6C1334" w:rsidR="00852EE0" w:rsidRDefault="00852EE0" w:rsidP="00CC3A82">
      <w:pPr>
        <w:rPr>
          <w:sz w:val="20"/>
          <w:szCs w:val="20"/>
        </w:rPr>
      </w:pPr>
      <w:r>
        <w:rPr>
          <w:sz w:val="20"/>
          <w:szCs w:val="20"/>
        </w:rPr>
        <w:t xml:space="preserve">Concerning </w:t>
      </w:r>
      <w:r w:rsidRPr="00076E37">
        <w:rPr>
          <w:b/>
          <w:bCs/>
          <w:color w:val="00B050"/>
          <w:sz w:val="20"/>
          <w:szCs w:val="20"/>
        </w:rPr>
        <w:t>e</w:t>
      </w:r>
      <w:r w:rsidR="00965CD7" w:rsidRPr="00076E37">
        <w:rPr>
          <w:b/>
          <w:bCs/>
          <w:color w:val="00B050"/>
          <w:sz w:val="20"/>
          <w:szCs w:val="20"/>
        </w:rPr>
        <w:t>ducation</w:t>
      </w:r>
      <w:r>
        <w:rPr>
          <w:sz w:val="20"/>
          <w:szCs w:val="20"/>
        </w:rPr>
        <w:t>,</w:t>
      </w:r>
      <w:r w:rsidRPr="00852EE0">
        <w:rPr>
          <w:sz w:val="20"/>
          <w:szCs w:val="20"/>
        </w:rPr>
        <w:t xml:space="preserve"> </w:t>
      </w:r>
      <w:r>
        <w:rPr>
          <w:sz w:val="20"/>
          <w:szCs w:val="20"/>
        </w:rPr>
        <w:t>a</w:t>
      </w:r>
      <w:r w:rsidRPr="00076E37">
        <w:rPr>
          <w:sz w:val="20"/>
          <w:szCs w:val="20"/>
        </w:rPr>
        <w:t xml:space="preserve">bundant theoretical models about education-driven productivity-wage gaps </w:t>
      </w:r>
      <w:r>
        <w:rPr>
          <w:sz w:val="20"/>
          <w:szCs w:val="20"/>
        </w:rPr>
        <w:t>are</w:t>
      </w:r>
      <w:r w:rsidRPr="00076E37">
        <w:rPr>
          <w:sz w:val="20"/>
          <w:szCs w:val="20"/>
        </w:rPr>
        <w:t xml:space="preserve"> not matched by abundance of empirical literature, and evidence for whether education raises productivity and wages is </w:t>
      </w:r>
      <w:r w:rsidRPr="00076E37">
        <w:rPr>
          <w:sz w:val="20"/>
          <w:szCs w:val="20"/>
          <w:highlight w:val="yellow"/>
        </w:rPr>
        <w:t>sparse (</w:t>
      </w:r>
      <w:proofErr w:type="spellStart"/>
      <w:r w:rsidRPr="00076E37">
        <w:rPr>
          <w:sz w:val="20"/>
          <w:szCs w:val="20"/>
          <w:highlight w:val="yellow"/>
        </w:rPr>
        <w:t>Kampelman</w:t>
      </w:r>
      <w:proofErr w:type="spellEnd"/>
      <w:r w:rsidRPr="00076E37">
        <w:rPr>
          <w:sz w:val="20"/>
          <w:szCs w:val="20"/>
          <w:highlight w:val="yellow"/>
        </w:rPr>
        <w:t xml:space="preserve"> et al, 2018)</w:t>
      </w:r>
      <w:r w:rsidRPr="00076E37">
        <w:rPr>
          <w:sz w:val="18"/>
          <w:szCs w:val="18"/>
        </w:rPr>
        <w:t>.</w:t>
      </w:r>
      <w:r w:rsidRPr="00076E37">
        <w:rPr>
          <w:sz w:val="20"/>
          <w:szCs w:val="20"/>
        </w:rPr>
        <w:t xml:space="preserve"> </w:t>
      </w:r>
      <w:r w:rsidRPr="00076E37">
        <w:rPr>
          <w:sz w:val="20"/>
          <w:szCs w:val="20"/>
        </w:rPr>
        <w:t xml:space="preserve">Nevertheless, </w:t>
      </w:r>
      <w:proofErr w:type="spellStart"/>
      <w:r w:rsidRPr="00076E37">
        <w:rPr>
          <w:sz w:val="20"/>
          <w:szCs w:val="20"/>
          <w:highlight w:val="yellow"/>
        </w:rPr>
        <w:t>Bhorat</w:t>
      </w:r>
      <w:proofErr w:type="spellEnd"/>
      <w:r w:rsidRPr="00076E37">
        <w:rPr>
          <w:sz w:val="20"/>
          <w:szCs w:val="20"/>
          <w:highlight w:val="yellow"/>
        </w:rPr>
        <w:t xml:space="preserve"> and Kimani (2017</w:t>
      </w:r>
      <w:r w:rsidRPr="00076E37">
        <w:rPr>
          <w:sz w:val="20"/>
          <w:szCs w:val="20"/>
        </w:rPr>
        <w:t>) show that in South Africa educational spending and lower teacher-student-ratios (STRs) lead to higher educational attainment levels</w:t>
      </w:r>
      <w:r>
        <w:rPr>
          <w:sz w:val="20"/>
          <w:szCs w:val="20"/>
        </w:rPr>
        <w:t>. F</w:t>
      </w:r>
      <w:r w:rsidRPr="00076E37">
        <w:rPr>
          <w:sz w:val="20"/>
          <w:szCs w:val="20"/>
        </w:rPr>
        <w:t xml:space="preserve">or STRs this </w:t>
      </w:r>
      <w:r>
        <w:rPr>
          <w:sz w:val="20"/>
          <w:szCs w:val="20"/>
        </w:rPr>
        <w:t>would</w:t>
      </w:r>
      <w:r w:rsidRPr="00076E37">
        <w:rPr>
          <w:sz w:val="20"/>
          <w:szCs w:val="20"/>
        </w:rPr>
        <w:t xml:space="preserve"> mostly </w:t>
      </w:r>
      <w:r>
        <w:rPr>
          <w:sz w:val="20"/>
          <w:szCs w:val="20"/>
        </w:rPr>
        <w:t xml:space="preserve">be </w:t>
      </w:r>
      <w:r w:rsidRPr="00076E37">
        <w:rPr>
          <w:sz w:val="20"/>
          <w:szCs w:val="20"/>
        </w:rPr>
        <w:t>the case in primary education.</w:t>
      </w:r>
      <w:r>
        <w:rPr>
          <w:sz w:val="20"/>
          <w:szCs w:val="20"/>
        </w:rPr>
        <w:t xml:space="preserve"> Furthermore, a</w:t>
      </w:r>
      <w:r w:rsidRPr="00076E37">
        <w:rPr>
          <w:sz w:val="20"/>
          <w:szCs w:val="20"/>
        </w:rPr>
        <w:t xml:space="preserve"> minority of South African pupils enjoys high quality education, while the majority cannot (</w:t>
      </w:r>
      <w:proofErr w:type="spellStart"/>
      <w:r w:rsidRPr="00076E37">
        <w:rPr>
          <w:sz w:val="20"/>
          <w:szCs w:val="20"/>
          <w:highlight w:val="yellow"/>
        </w:rPr>
        <w:t>Spaull</w:t>
      </w:r>
      <w:proofErr w:type="spellEnd"/>
      <w:r w:rsidRPr="00076E37">
        <w:rPr>
          <w:sz w:val="20"/>
          <w:szCs w:val="20"/>
          <w:highlight w:val="yellow"/>
        </w:rPr>
        <w:t>, 2013</w:t>
      </w:r>
      <w:r w:rsidRPr="00076E37">
        <w:rPr>
          <w:sz w:val="20"/>
          <w:szCs w:val="20"/>
        </w:rPr>
        <w:t>).</w:t>
      </w:r>
      <w:r>
        <w:rPr>
          <w:sz w:val="20"/>
          <w:szCs w:val="20"/>
        </w:rPr>
        <w:t xml:space="preserve"> </w:t>
      </w:r>
      <w:r w:rsidRPr="00076E37">
        <w:rPr>
          <w:sz w:val="20"/>
          <w:szCs w:val="20"/>
        </w:rPr>
        <w:t xml:space="preserve">The conditions therefore seem right for investment in quality of education to contribute not only to better educational levels, but also to an improved economy. However, calibration of such an economic impact </w:t>
      </w:r>
      <w:r w:rsidR="00B223F2">
        <w:rPr>
          <w:sz w:val="20"/>
          <w:szCs w:val="20"/>
        </w:rPr>
        <w:t>remain</w:t>
      </w:r>
      <w:r w:rsidRPr="00076E37">
        <w:rPr>
          <w:sz w:val="20"/>
          <w:szCs w:val="20"/>
        </w:rPr>
        <w:t>s difficult.</w:t>
      </w:r>
    </w:p>
    <w:p w14:paraId="02BF12EC" w14:textId="77777777" w:rsidR="00F37BF9" w:rsidRDefault="00B223F2" w:rsidP="00CC3A82">
      <w:pPr>
        <w:rPr>
          <w:sz w:val="20"/>
          <w:szCs w:val="20"/>
        </w:rPr>
      </w:pPr>
      <w:r>
        <w:rPr>
          <w:sz w:val="20"/>
          <w:szCs w:val="20"/>
        </w:rPr>
        <w:t xml:space="preserve">The following approach is applied to estimate productivity gains due to </w:t>
      </w:r>
      <w:r w:rsidRPr="00076E37">
        <w:rPr>
          <w:b/>
          <w:bCs/>
          <w:color w:val="00B050"/>
          <w:sz w:val="20"/>
          <w:szCs w:val="20"/>
        </w:rPr>
        <w:t>improvement of basic education</w:t>
      </w:r>
      <w:r>
        <w:rPr>
          <w:sz w:val="20"/>
          <w:szCs w:val="20"/>
        </w:rPr>
        <w:t xml:space="preserve">: </w:t>
      </w:r>
      <w:r w:rsidR="00586C27">
        <w:rPr>
          <w:sz w:val="20"/>
          <w:szCs w:val="20"/>
        </w:rPr>
        <w:t xml:space="preserve">The Full access and Efficiency scenarios lead to higher </w:t>
      </w:r>
      <w:r w:rsidRPr="00B223F2">
        <w:rPr>
          <w:sz w:val="20"/>
          <w:szCs w:val="20"/>
        </w:rPr>
        <w:t xml:space="preserve">enrolment </w:t>
      </w:r>
      <w:r w:rsidR="00586C27">
        <w:rPr>
          <w:sz w:val="20"/>
          <w:szCs w:val="20"/>
        </w:rPr>
        <w:t>and quality and therefore higher graduation levels for secondary school types relative to the Baseline scenario. A first s</w:t>
      </w:r>
      <w:r w:rsidR="00DE23C0" w:rsidRPr="00DE23C0">
        <w:rPr>
          <w:sz w:val="20"/>
          <w:szCs w:val="20"/>
        </w:rPr>
        <w:t xml:space="preserve">tep </w:t>
      </w:r>
      <w:r w:rsidR="00DE23C0">
        <w:rPr>
          <w:sz w:val="20"/>
          <w:szCs w:val="20"/>
        </w:rPr>
        <w:t>q</w:t>
      </w:r>
      <w:r w:rsidR="00DE23C0" w:rsidRPr="00DE23C0">
        <w:rPr>
          <w:sz w:val="20"/>
          <w:szCs w:val="20"/>
        </w:rPr>
        <w:t>uantif</w:t>
      </w:r>
      <w:r w:rsidR="00DE23C0">
        <w:rPr>
          <w:sz w:val="20"/>
          <w:szCs w:val="20"/>
        </w:rPr>
        <w:t>ies</w:t>
      </w:r>
      <w:r w:rsidR="00DE23C0" w:rsidRPr="00DE23C0">
        <w:rPr>
          <w:sz w:val="20"/>
          <w:szCs w:val="20"/>
        </w:rPr>
        <w:t xml:space="preserve"> the impact o</w:t>
      </w:r>
      <w:r w:rsidR="00586C27">
        <w:rPr>
          <w:sz w:val="20"/>
          <w:szCs w:val="20"/>
        </w:rPr>
        <w:t>n</w:t>
      </w:r>
      <w:r w:rsidR="00DE23C0" w:rsidRPr="00DE23C0">
        <w:rPr>
          <w:sz w:val="20"/>
          <w:szCs w:val="20"/>
        </w:rPr>
        <w:t xml:space="preserve"> educational attainment </w:t>
      </w:r>
      <w:r w:rsidR="00586C27">
        <w:rPr>
          <w:sz w:val="20"/>
          <w:szCs w:val="20"/>
        </w:rPr>
        <w:t>by level of education.</w:t>
      </w:r>
      <w:r w:rsidR="000F1F6D" w:rsidRPr="000F1F6D">
        <w:rPr>
          <w:rStyle w:val="FootnoteReference"/>
          <w:sz w:val="20"/>
          <w:szCs w:val="20"/>
        </w:rPr>
        <w:t xml:space="preserve"> </w:t>
      </w:r>
      <w:r w:rsidR="000F1F6D" w:rsidRPr="001C44AD">
        <w:rPr>
          <w:rStyle w:val="FootnoteReference"/>
          <w:sz w:val="20"/>
          <w:szCs w:val="20"/>
        </w:rPr>
        <w:footnoteReference w:id="9"/>
      </w:r>
      <w:r w:rsidR="00586C27">
        <w:rPr>
          <w:sz w:val="20"/>
          <w:szCs w:val="20"/>
        </w:rPr>
        <w:t xml:space="preserve"> Step 2 translates this to a change in school leavers from primary to matric-level educated.</w:t>
      </w:r>
      <w:r w:rsidR="00586C27">
        <w:rPr>
          <w:rStyle w:val="FootnoteReference"/>
          <w:sz w:val="20"/>
          <w:szCs w:val="20"/>
        </w:rPr>
        <w:footnoteReference w:id="10"/>
      </w:r>
      <w:r w:rsidR="00586C27">
        <w:rPr>
          <w:sz w:val="20"/>
          <w:szCs w:val="20"/>
        </w:rPr>
        <w:t xml:space="preserve"> Step 3 </w:t>
      </w:r>
      <w:r w:rsidR="00DE23C0">
        <w:rPr>
          <w:sz w:val="20"/>
          <w:szCs w:val="20"/>
        </w:rPr>
        <w:t>t</w:t>
      </w:r>
      <w:r w:rsidR="00DE23C0" w:rsidRPr="00DE23C0">
        <w:rPr>
          <w:sz w:val="20"/>
          <w:szCs w:val="20"/>
        </w:rPr>
        <w:t>ranslate</w:t>
      </w:r>
      <w:r w:rsidR="00DE23C0">
        <w:rPr>
          <w:sz w:val="20"/>
          <w:szCs w:val="20"/>
        </w:rPr>
        <w:t>s</w:t>
      </w:r>
      <w:r w:rsidR="00DE23C0" w:rsidRPr="00DE23C0">
        <w:rPr>
          <w:sz w:val="20"/>
          <w:szCs w:val="20"/>
        </w:rPr>
        <w:t xml:space="preserve"> the additional educational attainment in the employed work force to a TFP impact</w:t>
      </w:r>
      <w:r w:rsidR="00586C27">
        <w:rPr>
          <w:sz w:val="20"/>
          <w:szCs w:val="20"/>
        </w:rPr>
        <w:t>, based on the wage ratio between average secondary educated and primary (or less) educated workers</w:t>
      </w:r>
      <w:r w:rsidR="00DE23C0">
        <w:rPr>
          <w:sz w:val="20"/>
          <w:szCs w:val="20"/>
        </w:rPr>
        <w:t>.</w:t>
      </w:r>
      <w:r w:rsidR="00586C27">
        <w:rPr>
          <w:rStyle w:val="FootnoteReference"/>
          <w:sz w:val="20"/>
          <w:szCs w:val="20"/>
        </w:rPr>
        <w:footnoteReference w:id="11"/>
      </w:r>
      <w:r w:rsidR="00586C27" w:rsidRPr="00076E37">
        <w:rPr>
          <w:sz w:val="20"/>
          <w:szCs w:val="20"/>
        </w:rPr>
        <w:t xml:space="preserve"> This leads to an additional TFP growth of additional educational enrolment and quality of 0.22% for the period 2022-2030</w:t>
      </w:r>
      <w:r w:rsidR="001F4E8E" w:rsidRPr="00076E37">
        <w:rPr>
          <w:sz w:val="20"/>
          <w:szCs w:val="20"/>
        </w:rPr>
        <w:t>. T</w:t>
      </w:r>
      <w:r w:rsidR="001F4E8E" w:rsidRPr="00076E37">
        <w:rPr>
          <w:sz w:val="20"/>
          <w:szCs w:val="20"/>
        </w:rPr>
        <w:t>he difference relative size of additional capital investment</w:t>
      </w:r>
      <w:r w:rsidR="001F4E8E" w:rsidRPr="00076E37">
        <w:rPr>
          <w:sz w:val="20"/>
          <w:szCs w:val="20"/>
        </w:rPr>
        <w:t xml:space="preserve"> </w:t>
      </w:r>
      <w:r w:rsidR="001F4E8E" w:rsidRPr="00076E37">
        <w:rPr>
          <w:sz w:val="20"/>
          <w:szCs w:val="20"/>
        </w:rPr>
        <w:t xml:space="preserve">between Baseline and the No investment reference scenario </w:t>
      </w:r>
      <w:r w:rsidR="001F4E8E" w:rsidRPr="00076E37">
        <w:rPr>
          <w:sz w:val="20"/>
          <w:szCs w:val="20"/>
        </w:rPr>
        <w:t xml:space="preserve">would imply that the TFP impact </w:t>
      </w:r>
      <w:r w:rsidR="001F4E8E" w:rsidRPr="00076E37">
        <w:rPr>
          <w:sz w:val="20"/>
          <w:szCs w:val="20"/>
        </w:rPr>
        <w:t xml:space="preserve">for </w:t>
      </w:r>
      <w:r w:rsidR="001F4E8E" w:rsidRPr="00076E37">
        <w:rPr>
          <w:sz w:val="20"/>
          <w:szCs w:val="20"/>
        </w:rPr>
        <w:t xml:space="preserve">the </w:t>
      </w:r>
      <w:r w:rsidR="001F4E8E" w:rsidRPr="00076E37">
        <w:rPr>
          <w:sz w:val="20"/>
          <w:szCs w:val="20"/>
        </w:rPr>
        <w:t xml:space="preserve">baseline vs </w:t>
      </w:r>
      <w:r w:rsidR="001F4E8E" w:rsidRPr="00076E37">
        <w:rPr>
          <w:sz w:val="20"/>
          <w:szCs w:val="20"/>
        </w:rPr>
        <w:t xml:space="preserve">the </w:t>
      </w:r>
      <w:r w:rsidR="001F4E8E" w:rsidRPr="00076E37">
        <w:rPr>
          <w:sz w:val="20"/>
          <w:szCs w:val="20"/>
        </w:rPr>
        <w:t>reference</w:t>
      </w:r>
      <w:r w:rsidR="001F4E8E" w:rsidRPr="00076E37">
        <w:rPr>
          <w:sz w:val="20"/>
          <w:szCs w:val="20"/>
        </w:rPr>
        <w:t xml:space="preserve"> scenario is 0.3%, and therefore the TFP impact of Full access and Efficiency scenarios vs Reference are 0.53%.</w:t>
      </w:r>
      <w:r w:rsidR="00AF0971">
        <w:rPr>
          <w:sz w:val="20"/>
          <w:szCs w:val="20"/>
        </w:rPr>
        <w:t xml:space="preserve"> </w:t>
      </w:r>
    </w:p>
    <w:p w14:paraId="5308A1CE" w14:textId="1A6654BE" w:rsidR="00965CD7" w:rsidRPr="00076E37" w:rsidRDefault="00965CD7" w:rsidP="00CC3A82">
      <w:pPr>
        <w:rPr>
          <w:sz w:val="20"/>
          <w:szCs w:val="20"/>
        </w:rPr>
      </w:pPr>
      <w:r w:rsidRPr="00076E37">
        <w:rPr>
          <w:sz w:val="20"/>
          <w:szCs w:val="20"/>
        </w:rPr>
        <w:t xml:space="preserve">For </w:t>
      </w:r>
      <w:r w:rsidRPr="00076E37">
        <w:rPr>
          <w:b/>
          <w:bCs/>
          <w:color w:val="00B050"/>
          <w:sz w:val="20"/>
          <w:szCs w:val="20"/>
        </w:rPr>
        <w:t>TVET education</w:t>
      </w:r>
      <w:r w:rsidR="00AF0971" w:rsidRPr="00076E37">
        <w:rPr>
          <w:color w:val="00B050"/>
          <w:sz w:val="20"/>
          <w:szCs w:val="20"/>
        </w:rPr>
        <w:t xml:space="preserve"> </w:t>
      </w:r>
      <w:r w:rsidR="00AF0971">
        <w:rPr>
          <w:sz w:val="20"/>
          <w:szCs w:val="20"/>
        </w:rPr>
        <w:t xml:space="preserve">the same approach </w:t>
      </w:r>
      <w:r w:rsidR="00F37BF9">
        <w:rPr>
          <w:sz w:val="20"/>
          <w:szCs w:val="20"/>
        </w:rPr>
        <w:t>applies: T</w:t>
      </w:r>
      <w:r w:rsidR="00AF0971">
        <w:rPr>
          <w:sz w:val="20"/>
          <w:szCs w:val="20"/>
        </w:rPr>
        <w:t>his time the enrolment numbers lead to a shift from learners entering the labour market at the lower-secondary level to the matric/upper-secondary level.</w:t>
      </w:r>
      <w:r w:rsidR="00AF0971">
        <w:rPr>
          <w:rStyle w:val="FootnoteReference"/>
          <w:sz w:val="20"/>
          <w:szCs w:val="20"/>
        </w:rPr>
        <w:footnoteReference w:id="12"/>
      </w:r>
      <w:r w:rsidR="00AF0971">
        <w:rPr>
          <w:sz w:val="20"/>
          <w:szCs w:val="20"/>
        </w:rPr>
        <w:t xml:space="preserve"> </w:t>
      </w:r>
      <w:r w:rsidR="00F37BF9">
        <w:rPr>
          <w:sz w:val="20"/>
          <w:szCs w:val="20"/>
        </w:rPr>
        <w:t xml:space="preserve">Again, based on relative capital expenditure for expansion the impact of the Baseline scenario relative to the Reference scenario is estimated. The result of the estimation is that </w:t>
      </w:r>
      <w:r w:rsidR="000D7C0A">
        <w:rPr>
          <w:sz w:val="20"/>
          <w:szCs w:val="20"/>
        </w:rPr>
        <w:t xml:space="preserve">additional TFP growth for the total period up to 2030 </w:t>
      </w:r>
      <w:r w:rsidR="00F37BF9">
        <w:rPr>
          <w:sz w:val="20"/>
          <w:szCs w:val="20"/>
        </w:rPr>
        <w:t xml:space="preserve">is 0.37% for the NDP scenario, 0.08% for the Baseline scenario, and </w:t>
      </w:r>
      <w:r w:rsidR="00F37BF9">
        <w:rPr>
          <w:sz w:val="20"/>
          <w:szCs w:val="20"/>
        </w:rPr>
        <w:t>0.75% for the PSET scenario</w:t>
      </w:r>
      <w:r w:rsidR="00F37BF9">
        <w:rPr>
          <w:sz w:val="20"/>
          <w:szCs w:val="20"/>
        </w:rPr>
        <w:t>.</w:t>
      </w:r>
    </w:p>
    <w:p w14:paraId="613B0A3F" w14:textId="621FF172" w:rsidR="00CC3A82" w:rsidRPr="00076E37" w:rsidRDefault="00CC3A82" w:rsidP="00CC3A82"/>
    <w:p w14:paraId="7E7E82FE" w14:textId="64E027EC" w:rsidR="00CC3A82" w:rsidRDefault="002421E3" w:rsidP="00912BD0">
      <w:pPr>
        <w:pStyle w:val="Heading3"/>
        <w:rPr>
          <w:lang w:val="en-US"/>
        </w:rPr>
      </w:pPr>
      <w:r>
        <w:rPr>
          <w:lang w:val="en-US"/>
        </w:rPr>
        <w:br w:type="column"/>
      </w:r>
      <w:r w:rsidR="00912BD0">
        <w:rPr>
          <w:lang w:val="en-US"/>
        </w:rPr>
        <w:lastRenderedPageBreak/>
        <w:t>Abstract References</w:t>
      </w:r>
    </w:p>
    <w:p w14:paraId="6F059183" w14:textId="77777777" w:rsidR="00B60184" w:rsidRPr="002421E3" w:rsidRDefault="00B60184" w:rsidP="00B60184">
      <w:pPr>
        <w:rPr>
          <w:sz w:val="20"/>
          <w:szCs w:val="20"/>
        </w:rPr>
      </w:pPr>
      <w:proofErr w:type="spellStart"/>
      <w:r w:rsidRPr="002421E3">
        <w:rPr>
          <w:sz w:val="20"/>
          <w:szCs w:val="20"/>
        </w:rPr>
        <w:t>Bhorat</w:t>
      </w:r>
      <w:proofErr w:type="spellEnd"/>
      <w:r w:rsidRPr="002421E3">
        <w:rPr>
          <w:sz w:val="20"/>
          <w:szCs w:val="20"/>
        </w:rPr>
        <w:t>, H, Kimani, M 2017, The role of post-school education and training institutions in predicting labour market outcomes, LMIP report, no. 23, Labour Market Intelligence Partnership, Human Sciences Research Council, Pretoria, viewed 12 Jan 2023, &lt;http://www.lmip.org.za/document/role-post-school-education-and-training-institutions-predicting-labour-market-outcomes&gt;.</w:t>
      </w:r>
    </w:p>
    <w:p w14:paraId="2B9DA402" w14:textId="77777777" w:rsidR="00B223F2" w:rsidRPr="002421E3" w:rsidRDefault="00B223F2" w:rsidP="00B223F2">
      <w:pPr>
        <w:rPr>
          <w:sz w:val="20"/>
          <w:szCs w:val="20"/>
        </w:rPr>
      </w:pPr>
      <w:r w:rsidRPr="002421E3">
        <w:rPr>
          <w:sz w:val="20"/>
          <w:szCs w:val="20"/>
        </w:rPr>
        <w:t xml:space="preserve">Bloom, D.E., Canning, D., </w:t>
      </w:r>
      <w:proofErr w:type="spellStart"/>
      <w:r w:rsidRPr="002421E3">
        <w:rPr>
          <w:sz w:val="20"/>
          <w:szCs w:val="20"/>
        </w:rPr>
        <w:t>Kotschy</w:t>
      </w:r>
      <w:proofErr w:type="spellEnd"/>
      <w:r w:rsidRPr="002421E3">
        <w:rPr>
          <w:sz w:val="20"/>
          <w:szCs w:val="20"/>
        </w:rPr>
        <w:t xml:space="preserve">, R., </w:t>
      </w:r>
      <w:proofErr w:type="spellStart"/>
      <w:r w:rsidRPr="002421E3">
        <w:rPr>
          <w:sz w:val="20"/>
          <w:szCs w:val="20"/>
        </w:rPr>
        <w:t>Prettner</w:t>
      </w:r>
      <w:proofErr w:type="spellEnd"/>
      <w:r w:rsidRPr="002421E3">
        <w:rPr>
          <w:sz w:val="20"/>
          <w:szCs w:val="20"/>
        </w:rPr>
        <w:t xml:space="preserve">, K. &amp; </w:t>
      </w:r>
      <w:proofErr w:type="spellStart"/>
      <w:r w:rsidRPr="002421E3">
        <w:rPr>
          <w:sz w:val="20"/>
          <w:szCs w:val="20"/>
        </w:rPr>
        <w:t>Schünemann</w:t>
      </w:r>
      <w:proofErr w:type="spellEnd"/>
      <w:r w:rsidRPr="002421E3">
        <w:rPr>
          <w:sz w:val="20"/>
          <w:szCs w:val="20"/>
        </w:rPr>
        <w:t xml:space="preserve">, J.J. (2019), “Health and Economic Growth: Reconciling the Micro and Macro Evidence”, NBER </w:t>
      </w:r>
      <w:proofErr w:type="spellStart"/>
      <w:r w:rsidRPr="002421E3">
        <w:rPr>
          <w:sz w:val="20"/>
          <w:szCs w:val="20"/>
        </w:rPr>
        <w:t>wp</w:t>
      </w:r>
      <w:proofErr w:type="spellEnd"/>
      <w:r w:rsidRPr="002421E3">
        <w:rPr>
          <w:sz w:val="20"/>
          <w:szCs w:val="20"/>
        </w:rPr>
        <w:t xml:space="preserve"> 26003, June 2019, DOI 10.3386/w26003, accessed online (august 2022) </w:t>
      </w:r>
      <w:hyperlink r:id="rId8" w:tgtFrame="_blank" w:history="1">
        <w:r w:rsidRPr="002421E3">
          <w:rPr>
            <w:rStyle w:val="Hyperlink"/>
            <w:color w:val="1155CC"/>
            <w:sz w:val="20"/>
            <w:szCs w:val="20"/>
          </w:rPr>
          <w:t>https://www.nber.org/papers/w26003</w:t>
        </w:r>
      </w:hyperlink>
    </w:p>
    <w:p w14:paraId="4D933AC7" w14:textId="77777777" w:rsidR="00B60184" w:rsidRPr="002421E3" w:rsidRDefault="00B60184" w:rsidP="00B60184">
      <w:pPr>
        <w:rPr>
          <w:sz w:val="20"/>
          <w:szCs w:val="20"/>
        </w:rPr>
      </w:pPr>
      <w:r w:rsidRPr="002421E3">
        <w:rPr>
          <w:sz w:val="20"/>
          <w:szCs w:val="20"/>
        </w:rPr>
        <w:t>DWS, 2018. National Water and Sanitation Master Plan (NWSMP). Department of Water and Sanitation (DWS), Pretoria.</w:t>
      </w:r>
    </w:p>
    <w:p w14:paraId="0EEBF820" w14:textId="77777777" w:rsidR="00B60184" w:rsidRPr="002421E3" w:rsidRDefault="00B60184" w:rsidP="00B60184">
      <w:pPr>
        <w:rPr>
          <w:sz w:val="20"/>
          <w:szCs w:val="20"/>
        </w:rPr>
      </w:pPr>
      <w:proofErr w:type="spellStart"/>
      <w:r w:rsidRPr="002421E3">
        <w:rPr>
          <w:sz w:val="20"/>
          <w:szCs w:val="20"/>
        </w:rPr>
        <w:t>Fedderke</w:t>
      </w:r>
      <w:proofErr w:type="spellEnd"/>
      <w:r w:rsidRPr="002421E3">
        <w:rPr>
          <w:sz w:val="20"/>
          <w:szCs w:val="20"/>
        </w:rPr>
        <w:t xml:space="preserve">, J.W., and </w:t>
      </w:r>
      <w:proofErr w:type="spellStart"/>
      <w:r w:rsidRPr="002421E3">
        <w:rPr>
          <w:sz w:val="20"/>
          <w:szCs w:val="20"/>
        </w:rPr>
        <w:t>Bogetić</w:t>
      </w:r>
      <w:proofErr w:type="spellEnd"/>
      <w:r w:rsidRPr="002421E3">
        <w:rPr>
          <w:sz w:val="20"/>
          <w:szCs w:val="20"/>
        </w:rPr>
        <w:t>, Ž. 2009. Infrastructure and Growth in South Africa: Direct and Indirect Productivity Impacts of 19 Infrastructure Measures, World Development, 10.1016/j.worlddev.2009.01.008, 37, 9, (1522-1539).</w:t>
      </w:r>
    </w:p>
    <w:p w14:paraId="5EADC32A" w14:textId="73B9B02E" w:rsidR="00730B74" w:rsidRPr="002421E3" w:rsidRDefault="00B223F2" w:rsidP="00B223F2">
      <w:pPr>
        <w:rPr>
          <w:sz w:val="20"/>
          <w:szCs w:val="20"/>
        </w:rPr>
      </w:pPr>
      <w:proofErr w:type="spellStart"/>
      <w:r w:rsidRPr="002421E3">
        <w:rPr>
          <w:sz w:val="20"/>
          <w:szCs w:val="20"/>
        </w:rPr>
        <w:t>Kampelman</w:t>
      </w:r>
      <w:proofErr w:type="spellEnd"/>
      <w:r w:rsidRPr="002421E3">
        <w:rPr>
          <w:sz w:val="20"/>
          <w:szCs w:val="20"/>
        </w:rPr>
        <w:t xml:space="preserve">, S., </w:t>
      </w:r>
      <w:proofErr w:type="spellStart"/>
      <w:r w:rsidRPr="002421E3">
        <w:rPr>
          <w:sz w:val="20"/>
          <w:szCs w:val="20"/>
        </w:rPr>
        <w:t>Rycx</w:t>
      </w:r>
      <w:proofErr w:type="spellEnd"/>
      <w:r w:rsidRPr="002421E3">
        <w:rPr>
          <w:sz w:val="20"/>
          <w:szCs w:val="20"/>
        </w:rPr>
        <w:t xml:space="preserve">, F., Saks, Y., and </w:t>
      </w:r>
      <w:proofErr w:type="spellStart"/>
      <w:r w:rsidRPr="002421E3">
        <w:rPr>
          <w:sz w:val="20"/>
          <w:szCs w:val="20"/>
        </w:rPr>
        <w:t>Tojerow</w:t>
      </w:r>
      <w:proofErr w:type="spellEnd"/>
      <w:r w:rsidRPr="002421E3">
        <w:rPr>
          <w:sz w:val="20"/>
          <w:szCs w:val="20"/>
        </w:rPr>
        <w:t xml:space="preserve">, I., 2018. Does education raise productivity and wages equally? The moderating role of age and gender. IZA Journal of </w:t>
      </w:r>
      <w:proofErr w:type="spellStart"/>
      <w:r w:rsidRPr="002421E3">
        <w:rPr>
          <w:sz w:val="20"/>
          <w:szCs w:val="20"/>
        </w:rPr>
        <w:t>Labor</w:t>
      </w:r>
      <w:proofErr w:type="spellEnd"/>
      <w:r w:rsidRPr="002421E3">
        <w:rPr>
          <w:sz w:val="20"/>
          <w:szCs w:val="20"/>
        </w:rPr>
        <w:t xml:space="preserve"> Economics, vol.7:1, DOI 10.1186/s40172-017-0061-4</w:t>
      </w:r>
    </w:p>
    <w:p w14:paraId="682FF2B5" w14:textId="77777777" w:rsidR="00B60184" w:rsidRPr="002421E3" w:rsidRDefault="00B60184" w:rsidP="00B60184">
      <w:pPr>
        <w:rPr>
          <w:sz w:val="20"/>
          <w:szCs w:val="20"/>
        </w:rPr>
      </w:pPr>
      <w:proofErr w:type="spellStart"/>
      <w:r w:rsidRPr="002421E3">
        <w:rPr>
          <w:sz w:val="20"/>
          <w:szCs w:val="20"/>
        </w:rPr>
        <w:t>Ntombele</w:t>
      </w:r>
      <w:proofErr w:type="spellEnd"/>
      <w:r w:rsidRPr="002421E3">
        <w:rPr>
          <w:sz w:val="20"/>
          <w:szCs w:val="20"/>
        </w:rPr>
        <w:t xml:space="preserve"> S., </w:t>
      </w:r>
      <w:proofErr w:type="spellStart"/>
      <w:r w:rsidRPr="002421E3">
        <w:rPr>
          <w:sz w:val="20"/>
          <w:szCs w:val="20"/>
        </w:rPr>
        <w:t>Nyhodo</w:t>
      </w:r>
      <w:proofErr w:type="spellEnd"/>
      <w:r w:rsidRPr="002421E3">
        <w:rPr>
          <w:sz w:val="20"/>
          <w:szCs w:val="20"/>
        </w:rPr>
        <w:t xml:space="preserve">, B., </w:t>
      </w:r>
      <w:proofErr w:type="spellStart"/>
      <w:r w:rsidRPr="002421E3">
        <w:rPr>
          <w:sz w:val="20"/>
          <w:szCs w:val="20"/>
        </w:rPr>
        <w:t>Ngqangweni</w:t>
      </w:r>
      <w:proofErr w:type="spellEnd"/>
      <w:r w:rsidRPr="002421E3">
        <w:rPr>
          <w:sz w:val="20"/>
          <w:szCs w:val="20"/>
        </w:rPr>
        <w:t xml:space="preserve">, S., </w:t>
      </w:r>
      <w:proofErr w:type="spellStart"/>
      <w:r w:rsidRPr="002421E3">
        <w:rPr>
          <w:sz w:val="20"/>
          <w:szCs w:val="20"/>
        </w:rPr>
        <w:t>Phahlane</w:t>
      </w:r>
      <w:proofErr w:type="spellEnd"/>
      <w:r w:rsidRPr="002421E3">
        <w:rPr>
          <w:sz w:val="20"/>
          <w:szCs w:val="20"/>
        </w:rPr>
        <w:t xml:space="preserve">, H. and </w:t>
      </w:r>
      <w:proofErr w:type="spellStart"/>
      <w:r w:rsidRPr="002421E3">
        <w:rPr>
          <w:sz w:val="20"/>
          <w:szCs w:val="20"/>
        </w:rPr>
        <w:t>Lubinga</w:t>
      </w:r>
      <w:proofErr w:type="spellEnd"/>
      <w:r w:rsidRPr="002421E3">
        <w:rPr>
          <w:sz w:val="20"/>
          <w:szCs w:val="20"/>
        </w:rPr>
        <w:t xml:space="preserve">, M. 2017. Economy-wide effects of drought on South African Agriculture: A computable general equilibrium (CGE) analysis. Journal of Development and Agricultural Economics. Vol. 9(3), pp. 46-56, </w:t>
      </w:r>
      <w:proofErr w:type="gramStart"/>
      <w:r w:rsidRPr="002421E3">
        <w:rPr>
          <w:sz w:val="20"/>
          <w:szCs w:val="20"/>
        </w:rPr>
        <w:t>March,</w:t>
      </w:r>
      <w:proofErr w:type="gramEnd"/>
      <w:r w:rsidRPr="002421E3">
        <w:rPr>
          <w:sz w:val="20"/>
          <w:szCs w:val="20"/>
        </w:rPr>
        <w:t xml:space="preserve"> 2017. DOI: 10.5897/JDAE2016.0769</w:t>
      </w:r>
    </w:p>
    <w:p w14:paraId="465C7EFB" w14:textId="77777777" w:rsidR="00B60184" w:rsidRPr="002421E3" w:rsidRDefault="00B60184" w:rsidP="00B60184">
      <w:pPr>
        <w:rPr>
          <w:sz w:val="20"/>
          <w:szCs w:val="20"/>
        </w:rPr>
      </w:pPr>
      <w:proofErr w:type="spellStart"/>
      <w:r w:rsidRPr="002421E3">
        <w:rPr>
          <w:rStyle w:val="il"/>
          <w:sz w:val="20"/>
          <w:szCs w:val="20"/>
          <w:lang w:val="fr-FR"/>
        </w:rPr>
        <w:t>Prüss</w:t>
      </w:r>
      <w:r w:rsidRPr="002421E3">
        <w:rPr>
          <w:sz w:val="20"/>
          <w:szCs w:val="20"/>
          <w:lang w:val="fr-FR"/>
        </w:rPr>
        <w:t>-Ustün</w:t>
      </w:r>
      <w:proofErr w:type="spellEnd"/>
      <w:r w:rsidRPr="002421E3">
        <w:rPr>
          <w:sz w:val="20"/>
          <w:szCs w:val="20"/>
          <w:lang w:val="fr-FR"/>
        </w:rPr>
        <w:t xml:space="preserve"> A, Bartram J, et al. 2014. </w:t>
      </w:r>
      <w:r w:rsidRPr="002421E3">
        <w:rPr>
          <w:sz w:val="20"/>
          <w:szCs w:val="20"/>
        </w:rPr>
        <w:t xml:space="preserve">Burden of disease from inadequate water, sanitation and hygiene in low- and middle-income </w:t>
      </w:r>
      <w:proofErr w:type="gramStart"/>
      <w:r w:rsidRPr="002421E3">
        <w:rPr>
          <w:sz w:val="20"/>
          <w:szCs w:val="20"/>
        </w:rPr>
        <w:t>settings:</w:t>
      </w:r>
      <w:proofErr w:type="gramEnd"/>
      <w:r w:rsidRPr="002421E3">
        <w:rPr>
          <w:sz w:val="20"/>
          <w:szCs w:val="20"/>
        </w:rPr>
        <w:t xml:space="preserve"> a retrospective analysis of data from 145 countries. Trop Med Int Health. 2014 Aug;19(8):894-905. </w:t>
      </w:r>
      <w:proofErr w:type="spellStart"/>
      <w:r w:rsidRPr="002421E3">
        <w:rPr>
          <w:sz w:val="20"/>
          <w:szCs w:val="20"/>
        </w:rPr>
        <w:t>doi</w:t>
      </w:r>
      <w:proofErr w:type="spellEnd"/>
      <w:r w:rsidRPr="002421E3">
        <w:rPr>
          <w:sz w:val="20"/>
          <w:szCs w:val="20"/>
        </w:rPr>
        <w:t xml:space="preserve">: 10.1111/tmi.12329. </w:t>
      </w:r>
      <w:proofErr w:type="spellStart"/>
      <w:r w:rsidRPr="002421E3">
        <w:rPr>
          <w:sz w:val="20"/>
          <w:szCs w:val="20"/>
        </w:rPr>
        <w:t>Epub</w:t>
      </w:r>
      <w:proofErr w:type="spellEnd"/>
      <w:r w:rsidRPr="002421E3">
        <w:rPr>
          <w:sz w:val="20"/>
          <w:szCs w:val="20"/>
        </w:rPr>
        <w:t xml:space="preserve"> 2014 Apr 30. PMID: 24779548; PMCID: PMC4255749. </w:t>
      </w:r>
    </w:p>
    <w:p w14:paraId="0D422FF4" w14:textId="263637C6" w:rsidR="00B223F2" w:rsidRDefault="00B223F2" w:rsidP="00B223F2">
      <w:pPr>
        <w:rPr>
          <w:sz w:val="20"/>
          <w:szCs w:val="20"/>
        </w:rPr>
      </w:pPr>
      <w:proofErr w:type="spellStart"/>
      <w:r w:rsidRPr="002421E3">
        <w:rPr>
          <w:sz w:val="20"/>
          <w:szCs w:val="20"/>
        </w:rPr>
        <w:t>Spaull</w:t>
      </w:r>
      <w:proofErr w:type="spellEnd"/>
      <w:r w:rsidRPr="002421E3">
        <w:rPr>
          <w:sz w:val="20"/>
          <w:szCs w:val="20"/>
        </w:rPr>
        <w:t>, N. 2013. South Africa’s education crisis: The quality of education in South Africa 1994-2011 (Johannesburg: Centre for Development and Enterprise (CDE)).</w:t>
      </w:r>
    </w:p>
    <w:bookmarkEnd w:id="0"/>
    <w:p w14:paraId="09066A12" w14:textId="77777777" w:rsidR="002421E3" w:rsidRPr="002421E3" w:rsidRDefault="002421E3" w:rsidP="002421E3">
      <w:pPr>
        <w:rPr>
          <w:sz w:val="20"/>
          <w:szCs w:val="20"/>
        </w:rPr>
      </w:pPr>
    </w:p>
    <w:sectPr w:rsidR="002421E3" w:rsidRPr="002421E3" w:rsidSect="000033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8100" w14:textId="77777777" w:rsidR="008E2E38" w:rsidRDefault="008E2E38" w:rsidP="00405184">
      <w:pPr>
        <w:spacing w:after="0" w:line="240" w:lineRule="auto"/>
      </w:pPr>
      <w:r>
        <w:separator/>
      </w:r>
    </w:p>
  </w:endnote>
  <w:endnote w:type="continuationSeparator" w:id="0">
    <w:p w14:paraId="4E64B075" w14:textId="77777777" w:rsidR="008E2E38" w:rsidRDefault="008E2E38" w:rsidP="0040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B8ACB" w14:textId="77777777" w:rsidR="008E2E38" w:rsidRDefault="008E2E38" w:rsidP="00405184">
      <w:pPr>
        <w:spacing w:after="0" w:line="240" w:lineRule="auto"/>
      </w:pPr>
      <w:r>
        <w:separator/>
      </w:r>
    </w:p>
  </w:footnote>
  <w:footnote w:type="continuationSeparator" w:id="0">
    <w:p w14:paraId="342E6EB0" w14:textId="77777777" w:rsidR="008E2E38" w:rsidRDefault="008E2E38" w:rsidP="00405184">
      <w:pPr>
        <w:spacing w:after="0" w:line="240" w:lineRule="auto"/>
      </w:pPr>
      <w:r>
        <w:continuationSeparator/>
      </w:r>
    </w:p>
  </w:footnote>
  <w:footnote w:id="1">
    <w:p w14:paraId="013CE213" w14:textId="627DDD3C" w:rsidR="00912BD0" w:rsidRPr="00076E37" w:rsidRDefault="00912BD0">
      <w:pPr>
        <w:pStyle w:val="FootnoteText"/>
        <w:rPr>
          <w:sz w:val="16"/>
          <w:szCs w:val="16"/>
        </w:rPr>
      </w:pPr>
      <w:r w:rsidRPr="00076E37">
        <w:rPr>
          <w:rStyle w:val="FootnoteReference"/>
          <w:sz w:val="16"/>
          <w:szCs w:val="16"/>
        </w:rPr>
        <w:footnoteRef/>
      </w:r>
      <w:r w:rsidRPr="00076E37">
        <w:rPr>
          <w:sz w:val="16"/>
          <w:szCs w:val="16"/>
        </w:rPr>
        <w:t xml:space="preserve"> We use the estimate </w:t>
      </w:r>
      <w:r w:rsidR="000D7C0A" w:rsidRPr="00076E37">
        <w:rPr>
          <w:sz w:val="16"/>
          <w:szCs w:val="16"/>
        </w:rPr>
        <w:t xml:space="preserve">by </w:t>
      </w:r>
      <w:proofErr w:type="spellStart"/>
      <w:r w:rsidR="000D7C0A" w:rsidRPr="000D7C0A">
        <w:rPr>
          <w:sz w:val="16"/>
          <w:szCs w:val="16"/>
        </w:rPr>
        <w:t>Fedderke</w:t>
      </w:r>
      <w:proofErr w:type="spellEnd"/>
      <w:r w:rsidR="000D7C0A" w:rsidRPr="000D7C0A">
        <w:rPr>
          <w:sz w:val="16"/>
          <w:szCs w:val="16"/>
        </w:rPr>
        <w:t xml:space="preserve"> and </w:t>
      </w:r>
      <w:proofErr w:type="spellStart"/>
      <w:r w:rsidR="000D7C0A" w:rsidRPr="000D7C0A">
        <w:rPr>
          <w:sz w:val="16"/>
          <w:szCs w:val="16"/>
        </w:rPr>
        <w:t>Bogetic</w:t>
      </w:r>
      <w:proofErr w:type="spellEnd"/>
      <w:r w:rsidR="000D7C0A" w:rsidRPr="000D7C0A">
        <w:rPr>
          <w:sz w:val="16"/>
          <w:szCs w:val="16"/>
        </w:rPr>
        <w:t xml:space="preserve"> (2009)</w:t>
      </w:r>
      <w:r w:rsidR="000D7C0A" w:rsidRPr="000D7C0A">
        <w:rPr>
          <w:sz w:val="16"/>
          <w:szCs w:val="16"/>
        </w:rPr>
        <w:t xml:space="preserve"> </w:t>
      </w:r>
      <w:r w:rsidRPr="00076E37">
        <w:rPr>
          <w:sz w:val="16"/>
          <w:szCs w:val="16"/>
        </w:rPr>
        <w:t>that the TFP elasticity of (the natural logarithm of) the total length of the national road network is 2.8</w:t>
      </w:r>
      <w:r w:rsidR="000D7C0A" w:rsidRPr="000D7C0A">
        <w:rPr>
          <w:sz w:val="16"/>
          <w:szCs w:val="16"/>
        </w:rPr>
        <w:t xml:space="preserve">. For </w:t>
      </w:r>
      <w:r w:rsidR="000D7C0A" w:rsidRPr="000D7C0A">
        <w:rPr>
          <w:sz w:val="16"/>
          <w:szCs w:val="16"/>
        </w:rPr>
        <w:t>Rail</w:t>
      </w:r>
      <w:r w:rsidR="000D7C0A" w:rsidRPr="000D7C0A">
        <w:rPr>
          <w:sz w:val="16"/>
          <w:szCs w:val="16"/>
        </w:rPr>
        <w:t xml:space="preserve"> (also applied to BRT) </w:t>
      </w:r>
      <w:proofErr w:type="spellStart"/>
      <w:r w:rsidR="000D7C0A" w:rsidRPr="000D7C0A">
        <w:rPr>
          <w:sz w:val="16"/>
          <w:szCs w:val="16"/>
        </w:rPr>
        <w:t>Fedderke</w:t>
      </w:r>
      <w:proofErr w:type="spellEnd"/>
      <w:r w:rsidR="000D7C0A" w:rsidRPr="000D7C0A">
        <w:rPr>
          <w:sz w:val="16"/>
          <w:szCs w:val="16"/>
        </w:rPr>
        <w:t xml:space="preserve"> and </w:t>
      </w:r>
      <w:proofErr w:type="spellStart"/>
      <w:r w:rsidR="000D7C0A" w:rsidRPr="000D7C0A">
        <w:rPr>
          <w:sz w:val="16"/>
          <w:szCs w:val="16"/>
        </w:rPr>
        <w:t>Bogetic</w:t>
      </w:r>
      <w:proofErr w:type="spellEnd"/>
      <w:r w:rsidR="000D7C0A" w:rsidRPr="000D7C0A">
        <w:rPr>
          <w:sz w:val="16"/>
          <w:szCs w:val="16"/>
        </w:rPr>
        <w:t xml:space="preserve"> estimate that the </w:t>
      </w:r>
      <w:r w:rsidR="000D7C0A" w:rsidRPr="000D7C0A">
        <w:rPr>
          <w:sz w:val="16"/>
          <w:szCs w:val="16"/>
        </w:rPr>
        <w:t xml:space="preserve">elasticity </w:t>
      </w:r>
      <w:r w:rsidR="000D7C0A" w:rsidRPr="000D7C0A">
        <w:rPr>
          <w:sz w:val="16"/>
          <w:szCs w:val="16"/>
        </w:rPr>
        <w:t xml:space="preserve">of the (natural logarithm of) the </w:t>
      </w:r>
      <w:r w:rsidR="000D7C0A" w:rsidRPr="000D7C0A">
        <w:rPr>
          <w:sz w:val="16"/>
          <w:szCs w:val="16"/>
        </w:rPr>
        <w:t xml:space="preserve">number of passenger railway journeys </w:t>
      </w:r>
      <w:r w:rsidR="000D7C0A" w:rsidRPr="000D7C0A">
        <w:rPr>
          <w:sz w:val="16"/>
          <w:szCs w:val="16"/>
        </w:rPr>
        <w:t xml:space="preserve">to </w:t>
      </w:r>
      <w:r w:rsidR="000D7C0A" w:rsidRPr="000D7C0A">
        <w:rPr>
          <w:sz w:val="16"/>
          <w:szCs w:val="16"/>
        </w:rPr>
        <w:t xml:space="preserve">TFP </w:t>
      </w:r>
      <w:r w:rsidR="000D7C0A" w:rsidRPr="000D7C0A">
        <w:rPr>
          <w:sz w:val="16"/>
          <w:szCs w:val="16"/>
        </w:rPr>
        <w:t xml:space="preserve">would be </w:t>
      </w:r>
      <w:r w:rsidR="000D7C0A" w:rsidRPr="000D7C0A">
        <w:rPr>
          <w:sz w:val="16"/>
          <w:szCs w:val="16"/>
        </w:rPr>
        <w:t>0.159</w:t>
      </w:r>
      <w:r w:rsidR="000D7C0A" w:rsidRPr="000D7C0A">
        <w:rPr>
          <w:sz w:val="16"/>
          <w:szCs w:val="16"/>
        </w:rPr>
        <w:t>.</w:t>
      </w:r>
    </w:p>
  </w:footnote>
  <w:footnote w:id="2">
    <w:p w14:paraId="29E65171" w14:textId="20F14C25" w:rsidR="000E2EE0" w:rsidRPr="00076E37" w:rsidRDefault="000E2EE0" w:rsidP="000E2EE0">
      <w:pPr>
        <w:pStyle w:val="FootnoteText"/>
        <w:rPr>
          <w:sz w:val="16"/>
          <w:szCs w:val="16"/>
        </w:rPr>
      </w:pPr>
      <w:r w:rsidRPr="00076E37">
        <w:rPr>
          <w:rStyle w:val="FootnoteReference"/>
          <w:sz w:val="16"/>
          <w:szCs w:val="16"/>
        </w:rPr>
        <w:footnoteRef/>
      </w:r>
      <w:r w:rsidRPr="00076E37">
        <w:rPr>
          <w:sz w:val="16"/>
          <w:szCs w:val="16"/>
        </w:rPr>
        <w:t xml:space="preserve"> </w:t>
      </w:r>
      <w:r w:rsidR="00AF0971" w:rsidRPr="00076E37">
        <w:rPr>
          <w:sz w:val="16"/>
          <w:szCs w:val="16"/>
        </w:rPr>
        <w:t>T</w:t>
      </w:r>
      <w:r w:rsidRPr="00076E37">
        <w:rPr>
          <w:sz w:val="16"/>
          <w:szCs w:val="16"/>
        </w:rPr>
        <w:t>he SDG 3.6 objective for road safety</w:t>
      </w:r>
      <w:r w:rsidR="00AF0971" w:rsidRPr="00076E37">
        <w:rPr>
          <w:sz w:val="16"/>
          <w:szCs w:val="16"/>
        </w:rPr>
        <w:t xml:space="preserve"> is a </w:t>
      </w:r>
      <w:r w:rsidRPr="00076E37">
        <w:rPr>
          <w:sz w:val="16"/>
          <w:szCs w:val="16"/>
        </w:rPr>
        <w:t>reduc</w:t>
      </w:r>
      <w:r w:rsidR="00AF0971" w:rsidRPr="00076E37">
        <w:rPr>
          <w:sz w:val="16"/>
          <w:szCs w:val="16"/>
        </w:rPr>
        <w:t>tion in</w:t>
      </w:r>
      <w:r w:rsidRPr="00076E37">
        <w:rPr>
          <w:sz w:val="16"/>
          <w:szCs w:val="16"/>
        </w:rPr>
        <w:t xml:space="preserve"> mortality due to </w:t>
      </w:r>
      <w:r w:rsidR="00AF0971" w:rsidRPr="00076E37">
        <w:rPr>
          <w:sz w:val="16"/>
          <w:szCs w:val="16"/>
        </w:rPr>
        <w:t xml:space="preserve">road traffic </w:t>
      </w:r>
      <w:r w:rsidRPr="00076E37">
        <w:rPr>
          <w:sz w:val="16"/>
          <w:szCs w:val="16"/>
        </w:rPr>
        <w:t>accidents by 50% in 2030</w:t>
      </w:r>
      <w:r w:rsidR="00AF0971" w:rsidRPr="00AF0971">
        <w:rPr>
          <w:sz w:val="16"/>
          <w:szCs w:val="16"/>
        </w:rPr>
        <w:t>.</w:t>
      </w:r>
    </w:p>
  </w:footnote>
  <w:footnote w:id="3">
    <w:p w14:paraId="040F403F" w14:textId="07FCED50" w:rsidR="00146961" w:rsidRPr="00076E37" w:rsidRDefault="00146961">
      <w:pPr>
        <w:pStyle w:val="FootnoteText"/>
        <w:rPr>
          <w:sz w:val="16"/>
          <w:szCs w:val="16"/>
        </w:rPr>
      </w:pPr>
      <w:r w:rsidRPr="00076E37">
        <w:rPr>
          <w:rStyle w:val="FootnoteReference"/>
          <w:sz w:val="16"/>
          <w:szCs w:val="16"/>
        </w:rPr>
        <w:footnoteRef/>
      </w:r>
      <w:r w:rsidRPr="00076E37">
        <w:rPr>
          <w:sz w:val="16"/>
          <w:szCs w:val="16"/>
        </w:rPr>
        <w:t xml:space="preserve"> their estimate of labour productivity impacts of health-related improvement of adult survival rate is that L-productivity has an elasticity of 1 with the adult survival rate – based on the L-share in VA (53.5% in SAM 2019 data) and estimate the impact of this improved adult survival rate at 0.2%.</w:t>
      </w:r>
    </w:p>
  </w:footnote>
  <w:footnote w:id="4">
    <w:p w14:paraId="42DF34FF" w14:textId="509BD41A" w:rsidR="0059531B" w:rsidRPr="00076E37" w:rsidRDefault="0059531B">
      <w:pPr>
        <w:pStyle w:val="FootnoteText"/>
        <w:rPr>
          <w:sz w:val="16"/>
          <w:szCs w:val="16"/>
        </w:rPr>
      </w:pPr>
      <w:r w:rsidRPr="00076E37">
        <w:rPr>
          <w:rStyle w:val="FootnoteReference"/>
          <w:sz w:val="16"/>
          <w:szCs w:val="16"/>
        </w:rPr>
        <w:footnoteRef/>
      </w:r>
      <w:r w:rsidRPr="00076E37">
        <w:rPr>
          <w:sz w:val="16"/>
          <w:szCs w:val="16"/>
        </w:rPr>
        <w:t xml:space="preserve"> </w:t>
      </w:r>
      <w:r w:rsidR="00730B74" w:rsidRPr="00076E37">
        <w:rPr>
          <w:sz w:val="16"/>
          <w:szCs w:val="16"/>
        </w:rPr>
        <w:t xml:space="preserve">Based on authors own calculations, </w:t>
      </w:r>
      <w:proofErr w:type="gramStart"/>
      <w:r w:rsidR="00730B74" w:rsidRPr="00076E37">
        <w:rPr>
          <w:sz w:val="16"/>
          <w:szCs w:val="16"/>
        </w:rPr>
        <w:t>taking into account</w:t>
      </w:r>
      <w:proofErr w:type="gramEnd"/>
      <w:r w:rsidR="00730B74" w:rsidRPr="00076E37">
        <w:rPr>
          <w:sz w:val="16"/>
          <w:szCs w:val="16"/>
        </w:rPr>
        <w:t xml:space="preserve"> the following: </w:t>
      </w:r>
      <w:proofErr w:type="spellStart"/>
      <w:r w:rsidRPr="00076E37">
        <w:rPr>
          <w:sz w:val="16"/>
          <w:szCs w:val="16"/>
        </w:rPr>
        <w:t>Prüss-Ustün</w:t>
      </w:r>
      <w:proofErr w:type="spellEnd"/>
      <w:r w:rsidRPr="00076E37">
        <w:rPr>
          <w:sz w:val="16"/>
          <w:szCs w:val="16"/>
        </w:rPr>
        <w:t xml:space="preserve"> et al. (2014, Supplementary Material) estimate the total of preventable Water, Sanitation and Hygiene deaths in South Africa at 6.3 thousand in 2012, or 0.12 deaths per thousand people. In 2020, at the same rate, the number of deaths would amount to 7.2 thousand deaths. Children under 5 years old made up 43% of these deaths in LMIs (361.000 out of 842.000).  Assuming low mortality related to diarrhoea in children aged 6-14, the adult mortality in South Africa related to diarrhoea would have amounted to 4.1 thousand deaths in 2020.</w:t>
      </w:r>
      <w:r w:rsidR="00360AF6" w:rsidRPr="00076E37">
        <w:rPr>
          <w:sz w:val="16"/>
          <w:szCs w:val="16"/>
        </w:rPr>
        <w:t xml:space="preserve"> On a population of 42.6 million persons aged 15 or older this means a diarrhoea related death rate of 0.096 deaths per thousand persons.  People of working age (15-64) make up 93% of the adult population, and could therefore represent 3.8 thousand of these adult diarrhoea related deaths in 2020. Average adult mortality stood at an estimated 303 per 1,000 adults under 65 in South Africa.  The latter implies that out of 39.6 million working age people in South Africa in 2020 about 12 million will die before the age of 65 – equivalent to on average 0.24 million per year, or 6.06 per thousand working age persons. A decrease of 0.096 deaths per 1,000 persons would thus mean a 1.6% decrease in death rate and thus decrease mortality from 303 per 1,000 to 298 per 1,000 – and increase the adult survival rate from 697 per 1,000 to 702 per 1,000 – an increase of 0.57%. </w:t>
      </w:r>
    </w:p>
  </w:footnote>
  <w:footnote w:id="5">
    <w:p w14:paraId="74D0F317" w14:textId="1DDCA77F" w:rsidR="00360AF6" w:rsidRPr="00076E37" w:rsidRDefault="00360AF6" w:rsidP="00360AF6">
      <w:pPr>
        <w:pStyle w:val="FootnoteText"/>
        <w:rPr>
          <w:sz w:val="16"/>
          <w:szCs w:val="16"/>
          <w:lang w:val="en-US"/>
        </w:rPr>
      </w:pPr>
      <w:r w:rsidRPr="00076E37">
        <w:rPr>
          <w:rStyle w:val="FootnoteReference"/>
          <w:sz w:val="16"/>
          <w:szCs w:val="16"/>
        </w:rPr>
        <w:footnoteRef/>
      </w:r>
      <w:r w:rsidRPr="00076E37">
        <w:rPr>
          <w:sz w:val="16"/>
          <w:szCs w:val="16"/>
        </w:rPr>
        <w:t xml:space="preserve"> With Bloom et al. (2019)’s average elasticity of 1.0  (0.67 to 1.3) of labour productivity to adult survival rate, this would mean a 0.57% increase of labour productivity of achieving the </w:t>
      </w:r>
      <w:proofErr w:type="gramStart"/>
      <w:r w:rsidRPr="00076E37">
        <w:rPr>
          <w:sz w:val="16"/>
          <w:szCs w:val="16"/>
        </w:rPr>
        <w:t>SDG’s</w:t>
      </w:r>
      <w:proofErr w:type="gramEnd"/>
      <w:r w:rsidRPr="00076E37">
        <w:rPr>
          <w:sz w:val="16"/>
          <w:szCs w:val="16"/>
        </w:rPr>
        <w:t xml:space="preserve"> for water, sanitation and hygiene in South Africa, relative to 2020. The 2BF and 2BW scenarios see full achievement of the SDGs for Water and Sanitation. This leads to 0.57% higher labour productivity (by 2030). South Africa’s SAM 2019 shows an average labour share in Value Added of 53%. Simplifying matters, the assumption is that the equivalent increase in TFP is 53.5% of the Labour productivity increase from literature, thus arriving at a 0.31% higher TFP by 2030. For the 1BW scenario, the achievement of Universal Basic Service levels </w:t>
      </w:r>
      <w:proofErr w:type="gramStart"/>
      <w:r w:rsidRPr="00076E37">
        <w:rPr>
          <w:sz w:val="16"/>
          <w:szCs w:val="16"/>
        </w:rPr>
        <w:t>are</w:t>
      </w:r>
      <w:proofErr w:type="gramEnd"/>
      <w:r w:rsidRPr="00076E37">
        <w:rPr>
          <w:sz w:val="16"/>
          <w:szCs w:val="16"/>
        </w:rPr>
        <w:t xml:space="preserve"> assumed to lead to a 2/3</w:t>
      </w:r>
      <w:r w:rsidRPr="00076E37">
        <w:rPr>
          <w:sz w:val="16"/>
          <w:szCs w:val="16"/>
          <w:vertAlign w:val="superscript"/>
        </w:rPr>
        <w:t>rd</w:t>
      </w:r>
      <w:r w:rsidRPr="00076E37">
        <w:rPr>
          <w:sz w:val="16"/>
          <w:szCs w:val="16"/>
        </w:rPr>
        <w:t xml:space="preserve"> reduction of water supply related diarrheal disease burden, and a 1/3</w:t>
      </w:r>
      <w:r w:rsidRPr="00076E37">
        <w:rPr>
          <w:sz w:val="16"/>
          <w:szCs w:val="16"/>
          <w:vertAlign w:val="superscript"/>
        </w:rPr>
        <w:t>rd</w:t>
      </w:r>
      <w:r w:rsidRPr="00076E37">
        <w:rPr>
          <w:sz w:val="16"/>
          <w:szCs w:val="16"/>
        </w:rPr>
        <w:t xml:space="preserve"> reduction of sanitation-related disease burden, and 100% of hand washing. Translated to reduced adult mortality the Labour Productivity improvement would be 0.40% by 2030, which I then translate to a 0.22% TFP improvement by 2030.</w:t>
      </w:r>
    </w:p>
  </w:footnote>
  <w:footnote w:id="6">
    <w:p w14:paraId="3645257B" w14:textId="06C14B55" w:rsidR="006748A2" w:rsidRPr="006748A2" w:rsidRDefault="006748A2">
      <w:pPr>
        <w:pStyle w:val="FootnoteText"/>
      </w:pPr>
      <w:r w:rsidRPr="00076E37">
        <w:rPr>
          <w:rStyle w:val="FootnoteReference"/>
          <w:sz w:val="16"/>
          <w:szCs w:val="16"/>
        </w:rPr>
        <w:footnoteRef/>
      </w:r>
      <w:r w:rsidRPr="00076E37">
        <w:rPr>
          <w:sz w:val="16"/>
          <w:szCs w:val="16"/>
        </w:rPr>
        <w:t xml:space="preserve"> </w:t>
      </w:r>
      <w:r w:rsidRPr="00076E37">
        <w:rPr>
          <w:sz w:val="16"/>
          <w:szCs w:val="16"/>
        </w:rPr>
        <w:t>See sector report Water &amp; Sanitation, p.24: "3.4 Objective 4: Increased water resilience</w:t>
      </w:r>
      <w:r w:rsidRPr="00076E37">
        <w:rPr>
          <w:sz w:val="16"/>
          <w:szCs w:val="16"/>
        </w:rPr>
        <w:t>:</w:t>
      </w:r>
      <w:r w:rsidRPr="00076E37">
        <w:rPr>
          <w:sz w:val="16"/>
          <w:szCs w:val="16"/>
        </w:rPr>
        <w:t xml:space="preserve"> … The scarcity of resources and the increase in service levels increases the risk of water shortages during droughts. The NWSMP (</w:t>
      </w:r>
      <w:r w:rsidRPr="00076E37">
        <w:rPr>
          <w:sz w:val="16"/>
          <w:szCs w:val="16"/>
          <w:highlight w:val="yellow"/>
        </w:rPr>
        <w:t>DWS, 2018</w:t>
      </w:r>
      <w:r w:rsidRPr="00076E37">
        <w:rPr>
          <w:sz w:val="16"/>
          <w:szCs w:val="16"/>
        </w:rPr>
        <w:t>) warns of a 17% water deficit by 2030."</w:t>
      </w:r>
    </w:p>
  </w:footnote>
  <w:footnote w:id="7">
    <w:p w14:paraId="554711B4" w14:textId="497E58CA" w:rsidR="006748A2" w:rsidRPr="006748A2" w:rsidRDefault="006748A2">
      <w:pPr>
        <w:pStyle w:val="FootnoteText"/>
      </w:pPr>
      <w:r w:rsidRPr="00076E37">
        <w:rPr>
          <w:rStyle w:val="FootnoteReference"/>
          <w:sz w:val="16"/>
          <w:szCs w:val="16"/>
        </w:rPr>
        <w:footnoteRef/>
      </w:r>
      <w:r w:rsidRPr="00076E37">
        <w:rPr>
          <w:sz w:val="16"/>
          <w:szCs w:val="16"/>
        </w:rPr>
        <w:t xml:space="preserve"> </w:t>
      </w:r>
      <w:proofErr w:type="spellStart"/>
      <w:r w:rsidRPr="00076E37">
        <w:rPr>
          <w:sz w:val="16"/>
          <w:szCs w:val="16"/>
          <w:highlight w:val="yellow"/>
        </w:rPr>
        <w:t>Ntombele</w:t>
      </w:r>
      <w:proofErr w:type="spellEnd"/>
      <w:r w:rsidRPr="00076E37">
        <w:rPr>
          <w:sz w:val="16"/>
          <w:szCs w:val="16"/>
          <w:highlight w:val="yellow"/>
        </w:rPr>
        <w:t xml:space="preserve"> et al (2017</w:t>
      </w:r>
      <w:r w:rsidRPr="00076E37">
        <w:rPr>
          <w:sz w:val="16"/>
          <w:szCs w:val="16"/>
        </w:rPr>
        <w:t>) estimated (with a counterfactual CGE model scenario) the impact of the 2015/2016 drought on SA's GDP to have reduced the potential GDP by 1,49% through its impact on agricultural output</w:t>
      </w:r>
      <w:r w:rsidRPr="00076E37">
        <w:rPr>
          <w:sz w:val="16"/>
          <w:szCs w:val="16"/>
        </w:rPr>
        <w:t>.</w:t>
      </w:r>
      <w:r w:rsidR="008C2C11">
        <w:rPr>
          <w:sz w:val="16"/>
          <w:szCs w:val="16"/>
        </w:rPr>
        <w:t xml:space="preserve"> </w:t>
      </w:r>
      <w:r w:rsidR="008C2C11" w:rsidRPr="008C2C11">
        <w:rPr>
          <w:sz w:val="16"/>
          <w:szCs w:val="16"/>
        </w:rPr>
        <w:t>The 2015/2016 drought saw rainfed water supply decrease by a third compared to the long-term average, meaning a shortage of 29%.</w:t>
      </w:r>
      <w:r w:rsidR="008C2C11" w:rsidRPr="008C2C11">
        <w:t xml:space="preserve"> </w:t>
      </w:r>
      <w:r w:rsidR="008C2C11">
        <w:rPr>
          <w:sz w:val="16"/>
          <w:szCs w:val="16"/>
        </w:rPr>
        <w:t xml:space="preserve">Combining this with the NWSMP </w:t>
      </w:r>
      <w:r w:rsidR="008C2C11" w:rsidRPr="008C2C11">
        <w:rPr>
          <w:sz w:val="16"/>
          <w:szCs w:val="16"/>
        </w:rPr>
        <w:t>implie</w:t>
      </w:r>
      <w:r w:rsidR="008C2C11">
        <w:rPr>
          <w:sz w:val="16"/>
          <w:szCs w:val="16"/>
        </w:rPr>
        <w:t>s</w:t>
      </w:r>
      <w:r w:rsidR="008C2C11" w:rsidRPr="008C2C11">
        <w:rPr>
          <w:sz w:val="16"/>
          <w:szCs w:val="16"/>
        </w:rPr>
        <w:t xml:space="preserve"> </w:t>
      </w:r>
      <w:r w:rsidR="008C2C11">
        <w:rPr>
          <w:sz w:val="16"/>
          <w:szCs w:val="16"/>
        </w:rPr>
        <w:t xml:space="preserve">that current </w:t>
      </w:r>
      <w:r w:rsidR="008C2C11" w:rsidRPr="008C2C11">
        <w:rPr>
          <w:sz w:val="16"/>
          <w:szCs w:val="16"/>
        </w:rPr>
        <w:t xml:space="preserve">long-term </w:t>
      </w:r>
      <w:r w:rsidR="008C2C11">
        <w:rPr>
          <w:sz w:val="16"/>
          <w:szCs w:val="16"/>
        </w:rPr>
        <w:t xml:space="preserve">structural natural </w:t>
      </w:r>
      <w:r w:rsidR="008C2C11" w:rsidRPr="008C2C11">
        <w:rPr>
          <w:sz w:val="16"/>
          <w:szCs w:val="16"/>
        </w:rPr>
        <w:t xml:space="preserve">water supply </w:t>
      </w:r>
      <w:r w:rsidR="008C2C11">
        <w:rPr>
          <w:sz w:val="16"/>
          <w:szCs w:val="16"/>
        </w:rPr>
        <w:t xml:space="preserve">of South Africa has </w:t>
      </w:r>
      <w:r w:rsidR="008C2C11" w:rsidRPr="008C2C11">
        <w:rPr>
          <w:sz w:val="16"/>
          <w:szCs w:val="16"/>
        </w:rPr>
        <w:t>a</w:t>
      </w:r>
      <w:r w:rsidR="008C2C11">
        <w:rPr>
          <w:sz w:val="16"/>
          <w:szCs w:val="16"/>
        </w:rPr>
        <w:t xml:space="preserve">n </w:t>
      </w:r>
      <w:r w:rsidR="008C2C11" w:rsidRPr="008C2C11">
        <w:rPr>
          <w:sz w:val="16"/>
          <w:szCs w:val="16"/>
        </w:rPr>
        <w:t>average 6% surplus</w:t>
      </w:r>
      <w:r w:rsidR="008C2C11">
        <w:rPr>
          <w:sz w:val="16"/>
          <w:szCs w:val="16"/>
        </w:rPr>
        <w:t xml:space="preserve"> compared to water use.</w:t>
      </w:r>
    </w:p>
  </w:footnote>
  <w:footnote w:id="8">
    <w:p w14:paraId="070DEEFC" w14:textId="071BBC31" w:rsidR="008C2C11" w:rsidRPr="00076E37" w:rsidRDefault="008C2C11">
      <w:pPr>
        <w:pStyle w:val="FootnoteText"/>
        <w:rPr>
          <w:sz w:val="16"/>
          <w:szCs w:val="16"/>
        </w:rPr>
      </w:pPr>
      <w:r w:rsidRPr="00076E37">
        <w:rPr>
          <w:rStyle w:val="FootnoteReference"/>
          <w:sz w:val="16"/>
          <w:szCs w:val="16"/>
        </w:rPr>
        <w:footnoteRef/>
      </w:r>
      <w:r w:rsidRPr="00076E37">
        <w:rPr>
          <w:sz w:val="16"/>
          <w:szCs w:val="16"/>
        </w:rPr>
        <w:t xml:space="preserve"> </w:t>
      </w:r>
      <w:r w:rsidRPr="00076E37">
        <w:rPr>
          <w:sz w:val="16"/>
          <w:szCs w:val="16"/>
        </w:rPr>
        <w:t>Because the reference growth has already been set, the assumption is that the scenarios with less water shortages than the Status Quo scenario see their TFP impact as higher TFP growth than the no investment reference.</w:t>
      </w:r>
    </w:p>
  </w:footnote>
  <w:footnote w:id="9">
    <w:p w14:paraId="5DFF9047" w14:textId="77777777" w:rsidR="000F1F6D" w:rsidRPr="001C44AD" w:rsidRDefault="000F1F6D" w:rsidP="000F1F6D">
      <w:pPr>
        <w:pStyle w:val="FootnoteText"/>
        <w:rPr>
          <w:lang w:val="en-US"/>
        </w:rPr>
      </w:pPr>
      <w:r w:rsidRPr="001C44AD">
        <w:rPr>
          <w:rStyle w:val="FootnoteReference"/>
          <w:sz w:val="16"/>
          <w:szCs w:val="16"/>
        </w:rPr>
        <w:footnoteRef/>
      </w:r>
      <w:r w:rsidRPr="001C44AD">
        <w:rPr>
          <w:sz w:val="16"/>
          <w:szCs w:val="16"/>
        </w:rPr>
        <w:t xml:space="preserve"> While Full Access and Efficiency scenarios improve educational quality with a different focus, this means that the Efficiency scenario increases upper secondary educational output more before 2030, whereas Full Access spends more on all educational levels, and reaches higher matric graduation levels only later on. Yet, we assume that the labour market impact of full access broad quality </w:t>
      </w:r>
      <w:proofErr w:type="spellStart"/>
      <w:r w:rsidRPr="001C44AD">
        <w:rPr>
          <w:sz w:val="16"/>
          <w:szCs w:val="16"/>
        </w:rPr>
        <w:t>impuls</w:t>
      </w:r>
      <w:proofErr w:type="spellEnd"/>
      <w:r w:rsidRPr="001C44AD">
        <w:rPr>
          <w:sz w:val="16"/>
          <w:szCs w:val="16"/>
        </w:rPr>
        <w:t xml:space="preserve"> would be the same as that of the additionally obtained matric graduations in the Efficiency scenario.</w:t>
      </w:r>
    </w:p>
  </w:footnote>
  <w:footnote w:id="10">
    <w:p w14:paraId="72AEB5B7" w14:textId="03EB6089" w:rsidR="00586C27" w:rsidRPr="00076E37" w:rsidRDefault="00586C27">
      <w:pPr>
        <w:pStyle w:val="FootnoteText"/>
        <w:rPr>
          <w:lang w:val="en-US"/>
        </w:rPr>
      </w:pPr>
      <w:r w:rsidRPr="00076E37">
        <w:rPr>
          <w:rStyle w:val="FootnoteReference"/>
          <w:sz w:val="16"/>
          <w:szCs w:val="16"/>
        </w:rPr>
        <w:footnoteRef/>
      </w:r>
      <w:r w:rsidRPr="00076E37">
        <w:rPr>
          <w:sz w:val="16"/>
          <w:szCs w:val="16"/>
        </w:rPr>
        <w:t xml:space="preserve"> </w:t>
      </w:r>
      <w:r w:rsidRPr="00076E37">
        <w:rPr>
          <w:sz w:val="16"/>
          <w:szCs w:val="16"/>
        </w:rPr>
        <w:t xml:space="preserve">All students, and not only the additional students thanks to the investments, will benefit from improvements in Student-Teacher- ratios (STRs) and improved facilities, hence we can expect the average learner to enter the labour market with slightly improved skills. To simplify matters the labour productivity impact is concentrated within a group of learners equal in size to the additional </w:t>
      </w:r>
      <w:proofErr w:type="gramStart"/>
      <w:r w:rsidRPr="00076E37">
        <w:rPr>
          <w:sz w:val="16"/>
          <w:szCs w:val="16"/>
        </w:rPr>
        <w:t>amount</w:t>
      </w:r>
      <w:proofErr w:type="gramEnd"/>
      <w:r w:rsidRPr="00076E37">
        <w:rPr>
          <w:sz w:val="16"/>
          <w:szCs w:val="16"/>
        </w:rPr>
        <w:t xml:space="preserve"> of learners. We furthermore assume that this only concerns “will-be-employed” school leavers, and that the net effect is that the </w:t>
      </w:r>
      <w:proofErr w:type="gramStart"/>
      <w:r w:rsidRPr="00076E37">
        <w:rPr>
          <w:sz w:val="16"/>
          <w:szCs w:val="16"/>
        </w:rPr>
        <w:t>amount</w:t>
      </w:r>
      <w:proofErr w:type="gramEnd"/>
      <w:r w:rsidRPr="00076E37">
        <w:rPr>
          <w:sz w:val="16"/>
          <w:szCs w:val="16"/>
        </w:rPr>
        <w:t xml:space="preserve"> of additional learners in one cohort would move from being a primary/less-educated worker to becoming a secondary/matric-educated worker.</w:t>
      </w:r>
    </w:p>
  </w:footnote>
  <w:footnote w:id="11">
    <w:p w14:paraId="419F1A43" w14:textId="3EB872EE" w:rsidR="00586C27" w:rsidRPr="00076E37" w:rsidRDefault="00586C27">
      <w:pPr>
        <w:pStyle w:val="FootnoteText"/>
        <w:rPr>
          <w:lang w:val="en-US"/>
        </w:rPr>
      </w:pPr>
      <w:r w:rsidRPr="00076E37">
        <w:rPr>
          <w:rStyle w:val="FootnoteReference"/>
          <w:sz w:val="16"/>
          <w:szCs w:val="16"/>
        </w:rPr>
        <w:footnoteRef/>
      </w:r>
      <w:r w:rsidRPr="00076E37">
        <w:rPr>
          <w:sz w:val="16"/>
          <w:szCs w:val="16"/>
        </w:rPr>
        <w:t xml:space="preserve"> The wage ratio between upper-secondary educated</w:t>
      </w:r>
      <w:r w:rsidRPr="00076E37">
        <w:rPr>
          <w:sz w:val="16"/>
          <w:szCs w:val="16"/>
        </w:rPr>
        <w:t xml:space="preserve">, </w:t>
      </w:r>
      <w:r w:rsidRPr="00076E37">
        <w:rPr>
          <w:sz w:val="16"/>
          <w:szCs w:val="16"/>
        </w:rPr>
        <w:t xml:space="preserve">and primary or less educated workers </w:t>
      </w:r>
      <w:r w:rsidR="00AF0971">
        <w:rPr>
          <w:sz w:val="16"/>
          <w:szCs w:val="16"/>
        </w:rPr>
        <w:t>would be</w:t>
      </w:r>
      <w:r w:rsidRPr="00076E37">
        <w:rPr>
          <w:sz w:val="16"/>
          <w:szCs w:val="16"/>
        </w:rPr>
        <w:t xml:space="preserve"> on average </w:t>
      </w:r>
      <w:r w:rsidRPr="00076E37">
        <w:rPr>
          <w:sz w:val="16"/>
          <w:szCs w:val="16"/>
        </w:rPr>
        <w:t>2.41 for the 2022-2030 reference projection</w:t>
      </w:r>
      <w:r w:rsidRPr="00076E37">
        <w:rPr>
          <w:sz w:val="16"/>
          <w:szCs w:val="16"/>
        </w:rPr>
        <w:t>.</w:t>
      </w:r>
    </w:p>
  </w:footnote>
  <w:footnote w:id="12">
    <w:p w14:paraId="26E686FD" w14:textId="37600A2E" w:rsidR="00AF0971" w:rsidRPr="00076E37" w:rsidRDefault="00AF0971">
      <w:pPr>
        <w:pStyle w:val="FootnoteText"/>
        <w:rPr>
          <w:lang w:val="en-US"/>
        </w:rPr>
      </w:pPr>
      <w:r w:rsidRPr="00076E37">
        <w:rPr>
          <w:rStyle w:val="FootnoteReference"/>
          <w:sz w:val="16"/>
          <w:szCs w:val="16"/>
        </w:rPr>
        <w:footnoteRef/>
      </w:r>
      <w:r w:rsidRPr="00076E37">
        <w:rPr>
          <w:sz w:val="16"/>
          <w:szCs w:val="16"/>
        </w:rPr>
        <w:t xml:space="preserve"> </w:t>
      </w:r>
      <w:r w:rsidRPr="00076E37">
        <w:rPr>
          <w:sz w:val="16"/>
          <w:szCs w:val="16"/>
          <w:lang w:val="en-US"/>
        </w:rPr>
        <w:t>The corresponding wage ratio between upper-secondary educated and lower-secondary educated workers would be on average 1.89 for the 2022-2030 reference projection.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963"/>
    <w:multiLevelType w:val="hybridMultilevel"/>
    <w:tmpl w:val="27B82A44"/>
    <w:lvl w:ilvl="0" w:tplc="1C090011">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18F4091B"/>
    <w:multiLevelType w:val="hybridMultilevel"/>
    <w:tmpl w:val="EEA01A66"/>
    <w:lvl w:ilvl="0" w:tplc="3E583EA4">
      <w:start w:val="1"/>
      <w:numFmt w:val="decimal"/>
      <w:lvlText w:val="%1."/>
      <w:lvlJc w:val="left"/>
      <w:pPr>
        <w:tabs>
          <w:tab w:val="num" w:pos="720"/>
        </w:tabs>
        <w:ind w:left="720" w:hanging="360"/>
      </w:pPr>
    </w:lvl>
    <w:lvl w:ilvl="1" w:tplc="A98E4FBC" w:tentative="1">
      <w:start w:val="1"/>
      <w:numFmt w:val="decimal"/>
      <w:lvlText w:val="%2."/>
      <w:lvlJc w:val="left"/>
      <w:pPr>
        <w:tabs>
          <w:tab w:val="num" w:pos="1440"/>
        </w:tabs>
        <w:ind w:left="1440" w:hanging="360"/>
      </w:pPr>
    </w:lvl>
    <w:lvl w:ilvl="2" w:tplc="79DE98CC" w:tentative="1">
      <w:start w:val="1"/>
      <w:numFmt w:val="decimal"/>
      <w:lvlText w:val="%3."/>
      <w:lvlJc w:val="left"/>
      <w:pPr>
        <w:tabs>
          <w:tab w:val="num" w:pos="2160"/>
        </w:tabs>
        <w:ind w:left="2160" w:hanging="360"/>
      </w:pPr>
    </w:lvl>
    <w:lvl w:ilvl="3" w:tplc="57A495E6" w:tentative="1">
      <w:start w:val="1"/>
      <w:numFmt w:val="decimal"/>
      <w:lvlText w:val="%4."/>
      <w:lvlJc w:val="left"/>
      <w:pPr>
        <w:tabs>
          <w:tab w:val="num" w:pos="2880"/>
        </w:tabs>
        <w:ind w:left="2880" w:hanging="360"/>
      </w:pPr>
    </w:lvl>
    <w:lvl w:ilvl="4" w:tplc="39722BDE" w:tentative="1">
      <w:start w:val="1"/>
      <w:numFmt w:val="decimal"/>
      <w:lvlText w:val="%5."/>
      <w:lvlJc w:val="left"/>
      <w:pPr>
        <w:tabs>
          <w:tab w:val="num" w:pos="3600"/>
        </w:tabs>
        <w:ind w:left="3600" w:hanging="360"/>
      </w:pPr>
    </w:lvl>
    <w:lvl w:ilvl="5" w:tplc="2D847D0A" w:tentative="1">
      <w:start w:val="1"/>
      <w:numFmt w:val="decimal"/>
      <w:lvlText w:val="%6."/>
      <w:lvlJc w:val="left"/>
      <w:pPr>
        <w:tabs>
          <w:tab w:val="num" w:pos="4320"/>
        </w:tabs>
        <w:ind w:left="4320" w:hanging="360"/>
      </w:pPr>
    </w:lvl>
    <w:lvl w:ilvl="6" w:tplc="6AB29D84" w:tentative="1">
      <w:start w:val="1"/>
      <w:numFmt w:val="decimal"/>
      <w:lvlText w:val="%7."/>
      <w:lvlJc w:val="left"/>
      <w:pPr>
        <w:tabs>
          <w:tab w:val="num" w:pos="5040"/>
        </w:tabs>
        <w:ind w:left="5040" w:hanging="360"/>
      </w:pPr>
    </w:lvl>
    <w:lvl w:ilvl="7" w:tplc="65B2F208" w:tentative="1">
      <w:start w:val="1"/>
      <w:numFmt w:val="decimal"/>
      <w:lvlText w:val="%8."/>
      <w:lvlJc w:val="left"/>
      <w:pPr>
        <w:tabs>
          <w:tab w:val="num" w:pos="5760"/>
        </w:tabs>
        <w:ind w:left="5760" w:hanging="360"/>
      </w:pPr>
    </w:lvl>
    <w:lvl w:ilvl="8" w:tplc="B594A448" w:tentative="1">
      <w:start w:val="1"/>
      <w:numFmt w:val="decimal"/>
      <w:lvlText w:val="%9."/>
      <w:lvlJc w:val="left"/>
      <w:pPr>
        <w:tabs>
          <w:tab w:val="num" w:pos="6480"/>
        </w:tabs>
        <w:ind w:left="6480" w:hanging="360"/>
      </w:pPr>
    </w:lvl>
  </w:abstractNum>
  <w:abstractNum w:abstractNumId="2" w15:restartNumberingAfterBreak="0">
    <w:nsid w:val="42CF4D53"/>
    <w:multiLevelType w:val="hybridMultilevel"/>
    <w:tmpl w:val="D0A49848"/>
    <w:lvl w:ilvl="0" w:tplc="1E481E0A">
      <w:numFmt w:val="bullet"/>
      <w:lvlText w:val="-"/>
      <w:lvlJc w:val="left"/>
      <w:pPr>
        <w:ind w:left="720" w:hanging="360"/>
      </w:pPr>
      <w:rPr>
        <w:rFonts w:ascii="Times New Roman" w:eastAsiaTheme="minorHAnsi"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77E6BD4"/>
    <w:multiLevelType w:val="hybridMultilevel"/>
    <w:tmpl w:val="EE0E2C04"/>
    <w:lvl w:ilvl="0" w:tplc="8402CC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8313D2"/>
    <w:multiLevelType w:val="hybridMultilevel"/>
    <w:tmpl w:val="4DC00DE6"/>
    <w:lvl w:ilvl="0" w:tplc="B0B48CA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06858"/>
    <w:multiLevelType w:val="hybridMultilevel"/>
    <w:tmpl w:val="7A2A2D40"/>
    <w:lvl w:ilvl="0" w:tplc="6F1608D8">
      <w:start w:val="1"/>
      <w:numFmt w:val="bullet"/>
      <w:lvlText w:val=""/>
      <w:lvlJc w:val="left"/>
      <w:pPr>
        <w:ind w:left="1440" w:hanging="360"/>
      </w:pPr>
      <w:rPr>
        <w:rFonts w:ascii="Symbol" w:hAnsi="Symbol"/>
      </w:rPr>
    </w:lvl>
    <w:lvl w:ilvl="1" w:tplc="80F6F4F8">
      <w:start w:val="1"/>
      <w:numFmt w:val="bullet"/>
      <w:lvlText w:val=""/>
      <w:lvlJc w:val="left"/>
      <w:pPr>
        <w:ind w:left="1440" w:hanging="360"/>
      </w:pPr>
      <w:rPr>
        <w:rFonts w:ascii="Symbol" w:hAnsi="Symbol"/>
      </w:rPr>
    </w:lvl>
    <w:lvl w:ilvl="2" w:tplc="8D240306">
      <w:start w:val="1"/>
      <w:numFmt w:val="bullet"/>
      <w:lvlText w:val=""/>
      <w:lvlJc w:val="left"/>
      <w:pPr>
        <w:ind w:left="1440" w:hanging="360"/>
      </w:pPr>
      <w:rPr>
        <w:rFonts w:ascii="Symbol" w:hAnsi="Symbol"/>
      </w:rPr>
    </w:lvl>
    <w:lvl w:ilvl="3" w:tplc="69F450A0">
      <w:start w:val="1"/>
      <w:numFmt w:val="bullet"/>
      <w:lvlText w:val=""/>
      <w:lvlJc w:val="left"/>
      <w:pPr>
        <w:ind w:left="1440" w:hanging="360"/>
      </w:pPr>
      <w:rPr>
        <w:rFonts w:ascii="Symbol" w:hAnsi="Symbol"/>
      </w:rPr>
    </w:lvl>
    <w:lvl w:ilvl="4" w:tplc="62FE2172">
      <w:start w:val="1"/>
      <w:numFmt w:val="bullet"/>
      <w:lvlText w:val=""/>
      <w:lvlJc w:val="left"/>
      <w:pPr>
        <w:ind w:left="1440" w:hanging="360"/>
      </w:pPr>
      <w:rPr>
        <w:rFonts w:ascii="Symbol" w:hAnsi="Symbol"/>
      </w:rPr>
    </w:lvl>
    <w:lvl w:ilvl="5" w:tplc="5496881E">
      <w:start w:val="1"/>
      <w:numFmt w:val="bullet"/>
      <w:lvlText w:val=""/>
      <w:lvlJc w:val="left"/>
      <w:pPr>
        <w:ind w:left="1440" w:hanging="360"/>
      </w:pPr>
      <w:rPr>
        <w:rFonts w:ascii="Symbol" w:hAnsi="Symbol"/>
      </w:rPr>
    </w:lvl>
    <w:lvl w:ilvl="6" w:tplc="6A606CF8">
      <w:start w:val="1"/>
      <w:numFmt w:val="bullet"/>
      <w:lvlText w:val=""/>
      <w:lvlJc w:val="left"/>
      <w:pPr>
        <w:ind w:left="1440" w:hanging="360"/>
      </w:pPr>
      <w:rPr>
        <w:rFonts w:ascii="Symbol" w:hAnsi="Symbol"/>
      </w:rPr>
    </w:lvl>
    <w:lvl w:ilvl="7" w:tplc="D1BE1F7E">
      <w:start w:val="1"/>
      <w:numFmt w:val="bullet"/>
      <w:lvlText w:val=""/>
      <w:lvlJc w:val="left"/>
      <w:pPr>
        <w:ind w:left="1440" w:hanging="360"/>
      </w:pPr>
      <w:rPr>
        <w:rFonts w:ascii="Symbol" w:hAnsi="Symbol"/>
      </w:rPr>
    </w:lvl>
    <w:lvl w:ilvl="8" w:tplc="7C4E225A">
      <w:start w:val="1"/>
      <w:numFmt w:val="bullet"/>
      <w:lvlText w:val=""/>
      <w:lvlJc w:val="left"/>
      <w:pPr>
        <w:ind w:left="1440" w:hanging="360"/>
      </w:pPr>
      <w:rPr>
        <w:rFonts w:ascii="Symbol" w:hAnsi="Symbol"/>
      </w:rPr>
    </w:lvl>
  </w:abstractNum>
  <w:abstractNum w:abstractNumId="6" w15:restartNumberingAfterBreak="0">
    <w:nsid w:val="634C203F"/>
    <w:multiLevelType w:val="hybridMultilevel"/>
    <w:tmpl w:val="C8644ED8"/>
    <w:lvl w:ilvl="0" w:tplc="35A213BA">
      <w:numFmt w:val="bullet"/>
      <w:lvlText w:val="-"/>
      <w:lvlJc w:val="left"/>
      <w:pPr>
        <w:ind w:left="720" w:hanging="360"/>
      </w:pPr>
      <w:rPr>
        <w:rFonts w:ascii="Calibri" w:eastAsiaTheme="minorHAnsi" w:hAnsi="Calibri" w:cs="Calibri" w:hint="default"/>
        <w:lang w:val="en-GB"/>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C461830"/>
    <w:multiLevelType w:val="hybridMultilevel"/>
    <w:tmpl w:val="26F295A8"/>
    <w:lvl w:ilvl="0" w:tplc="975C195C">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45605D"/>
    <w:multiLevelType w:val="hybridMultilevel"/>
    <w:tmpl w:val="469EAC10"/>
    <w:lvl w:ilvl="0" w:tplc="975C195C">
      <w:start w:val="20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B505F"/>
    <w:multiLevelType w:val="hybridMultilevel"/>
    <w:tmpl w:val="E02C8372"/>
    <w:lvl w:ilvl="0" w:tplc="6BA29D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CE1EB1"/>
    <w:multiLevelType w:val="hybridMultilevel"/>
    <w:tmpl w:val="3528BA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396590430">
    <w:abstractNumId w:val="0"/>
  </w:num>
  <w:num w:numId="2" w16cid:durableId="1918201815">
    <w:abstractNumId w:val="1"/>
  </w:num>
  <w:num w:numId="3" w16cid:durableId="143668559">
    <w:abstractNumId w:val="2"/>
  </w:num>
  <w:num w:numId="4" w16cid:durableId="846947366">
    <w:abstractNumId w:val="10"/>
  </w:num>
  <w:num w:numId="5" w16cid:durableId="198278436">
    <w:abstractNumId w:val="6"/>
  </w:num>
  <w:num w:numId="6" w16cid:durableId="515775371">
    <w:abstractNumId w:val="8"/>
  </w:num>
  <w:num w:numId="7" w16cid:durableId="1801605614">
    <w:abstractNumId w:val="4"/>
  </w:num>
  <w:num w:numId="8" w16cid:durableId="1145312575">
    <w:abstractNumId w:val="3"/>
  </w:num>
  <w:num w:numId="9" w16cid:durableId="554849823">
    <w:abstractNumId w:val="9"/>
  </w:num>
  <w:num w:numId="10" w16cid:durableId="429812387">
    <w:abstractNumId w:val="5"/>
  </w:num>
  <w:num w:numId="11" w16cid:durableId="731778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48"/>
    <w:rsid w:val="000033A1"/>
    <w:rsid w:val="00006805"/>
    <w:rsid w:val="00026598"/>
    <w:rsid w:val="00033B51"/>
    <w:rsid w:val="00045E25"/>
    <w:rsid w:val="0006586A"/>
    <w:rsid w:val="00076E37"/>
    <w:rsid w:val="000865B3"/>
    <w:rsid w:val="000D7C0A"/>
    <w:rsid w:val="000E2EE0"/>
    <w:rsid w:val="000F1F6D"/>
    <w:rsid w:val="00112B62"/>
    <w:rsid w:val="0011345A"/>
    <w:rsid w:val="0012608E"/>
    <w:rsid w:val="00126309"/>
    <w:rsid w:val="00144CE3"/>
    <w:rsid w:val="00146961"/>
    <w:rsid w:val="001655A6"/>
    <w:rsid w:val="001812B5"/>
    <w:rsid w:val="001A4921"/>
    <w:rsid w:val="001C27F1"/>
    <w:rsid w:val="001C7ABE"/>
    <w:rsid w:val="001F1437"/>
    <w:rsid w:val="001F4E8E"/>
    <w:rsid w:val="002421E3"/>
    <w:rsid w:val="00247D55"/>
    <w:rsid w:val="0027164E"/>
    <w:rsid w:val="002835EB"/>
    <w:rsid w:val="002840C8"/>
    <w:rsid w:val="002B100F"/>
    <w:rsid w:val="002B61E5"/>
    <w:rsid w:val="002C3D0F"/>
    <w:rsid w:val="002C456E"/>
    <w:rsid w:val="002C5AB9"/>
    <w:rsid w:val="002F5C92"/>
    <w:rsid w:val="003157AD"/>
    <w:rsid w:val="00351910"/>
    <w:rsid w:val="00354A87"/>
    <w:rsid w:val="00360AF6"/>
    <w:rsid w:val="00367F65"/>
    <w:rsid w:val="00393DF5"/>
    <w:rsid w:val="00405184"/>
    <w:rsid w:val="0044386C"/>
    <w:rsid w:val="004768A9"/>
    <w:rsid w:val="004D4754"/>
    <w:rsid w:val="004E7589"/>
    <w:rsid w:val="00512144"/>
    <w:rsid w:val="0052388E"/>
    <w:rsid w:val="00557A1A"/>
    <w:rsid w:val="00557D65"/>
    <w:rsid w:val="00560317"/>
    <w:rsid w:val="00564445"/>
    <w:rsid w:val="0057086C"/>
    <w:rsid w:val="005737B0"/>
    <w:rsid w:val="00586C27"/>
    <w:rsid w:val="0059531B"/>
    <w:rsid w:val="00595934"/>
    <w:rsid w:val="005D6940"/>
    <w:rsid w:val="00643905"/>
    <w:rsid w:val="00656AE0"/>
    <w:rsid w:val="00667ADD"/>
    <w:rsid w:val="006748A2"/>
    <w:rsid w:val="006C42DE"/>
    <w:rsid w:val="0070725A"/>
    <w:rsid w:val="00730B74"/>
    <w:rsid w:val="007322D9"/>
    <w:rsid w:val="0074555E"/>
    <w:rsid w:val="00792DE8"/>
    <w:rsid w:val="007931C1"/>
    <w:rsid w:val="007E08CB"/>
    <w:rsid w:val="00801068"/>
    <w:rsid w:val="00852EE0"/>
    <w:rsid w:val="008C2C11"/>
    <w:rsid w:val="008D3CEA"/>
    <w:rsid w:val="008E2E38"/>
    <w:rsid w:val="008E700F"/>
    <w:rsid w:val="009026FE"/>
    <w:rsid w:val="00912BD0"/>
    <w:rsid w:val="00912D1E"/>
    <w:rsid w:val="00927BD5"/>
    <w:rsid w:val="00944593"/>
    <w:rsid w:val="00954366"/>
    <w:rsid w:val="00965CD7"/>
    <w:rsid w:val="0097502B"/>
    <w:rsid w:val="00986F87"/>
    <w:rsid w:val="0099130A"/>
    <w:rsid w:val="009A1074"/>
    <w:rsid w:val="009C06DA"/>
    <w:rsid w:val="009C6C04"/>
    <w:rsid w:val="00A0353F"/>
    <w:rsid w:val="00A1644F"/>
    <w:rsid w:val="00A30BD3"/>
    <w:rsid w:val="00A45127"/>
    <w:rsid w:val="00A66903"/>
    <w:rsid w:val="00A706E1"/>
    <w:rsid w:val="00A77956"/>
    <w:rsid w:val="00AA67BD"/>
    <w:rsid w:val="00AB4C82"/>
    <w:rsid w:val="00AD4D51"/>
    <w:rsid w:val="00AD4ECF"/>
    <w:rsid w:val="00AD720D"/>
    <w:rsid w:val="00AF0971"/>
    <w:rsid w:val="00B007FB"/>
    <w:rsid w:val="00B11794"/>
    <w:rsid w:val="00B15323"/>
    <w:rsid w:val="00B223F2"/>
    <w:rsid w:val="00B52917"/>
    <w:rsid w:val="00B53CAF"/>
    <w:rsid w:val="00B60184"/>
    <w:rsid w:val="00B61B48"/>
    <w:rsid w:val="00B84232"/>
    <w:rsid w:val="00BA2DA1"/>
    <w:rsid w:val="00BE28C7"/>
    <w:rsid w:val="00BE2D36"/>
    <w:rsid w:val="00BF3B81"/>
    <w:rsid w:val="00C1195E"/>
    <w:rsid w:val="00CC3A82"/>
    <w:rsid w:val="00D14791"/>
    <w:rsid w:val="00D713C8"/>
    <w:rsid w:val="00D80BAE"/>
    <w:rsid w:val="00D87522"/>
    <w:rsid w:val="00D973A4"/>
    <w:rsid w:val="00DB74B4"/>
    <w:rsid w:val="00DE23C0"/>
    <w:rsid w:val="00DE5E98"/>
    <w:rsid w:val="00DF3A2D"/>
    <w:rsid w:val="00E06363"/>
    <w:rsid w:val="00E07EAD"/>
    <w:rsid w:val="00E40484"/>
    <w:rsid w:val="00E56A2B"/>
    <w:rsid w:val="00E752E0"/>
    <w:rsid w:val="00E8005F"/>
    <w:rsid w:val="00E964D4"/>
    <w:rsid w:val="00E97FD5"/>
    <w:rsid w:val="00ED2218"/>
    <w:rsid w:val="00ED7B91"/>
    <w:rsid w:val="00F14817"/>
    <w:rsid w:val="00F17025"/>
    <w:rsid w:val="00F30ECC"/>
    <w:rsid w:val="00F335AA"/>
    <w:rsid w:val="00F37BF9"/>
    <w:rsid w:val="00F55A39"/>
    <w:rsid w:val="00F83157"/>
    <w:rsid w:val="00F85AA9"/>
    <w:rsid w:val="00FA354B"/>
    <w:rsid w:val="00FC46A3"/>
    <w:rsid w:val="00FC661B"/>
    <w:rsid w:val="00FF180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362D"/>
  <w15:docId w15:val="{388C9A4D-C4B4-433C-AF42-8E960653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3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3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05184"/>
    <w:pPr>
      <w:spacing w:after="0" w:line="240" w:lineRule="auto"/>
    </w:pPr>
    <w:rPr>
      <w:sz w:val="20"/>
      <w:szCs w:val="20"/>
      <w:lang w:val="en-ZA"/>
    </w:rPr>
  </w:style>
  <w:style w:type="character" w:customStyle="1" w:styleId="FootnoteTextChar">
    <w:name w:val="Footnote Text Char"/>
    <w:basedOn w:val="DefaultParagraphFont"/>
    <w:link w:val="FootnoteText"/>
    <w:uiPriority w:val="99"/>
    <w:rsid w:val="00405184"/>
    <w:rPr>
      <w:sz w:val="20"/>
      <w:szCs w:val="20"/>
      <w:lang w:val="en-ZA"/>
    </w:rPr>
  </w:style>
  <w:style w:type="character" w:styleId="FootnoteReference">
    <w:name w:val="footnote reference"/>
    <w:basedOn w:val="DefaultParagraphFont"/>
    <w:uiPriority w:val="99"/>
    <w:unhideWhenUsed/>
    <w:rsid w:val="00405184"/>
    <w:rPr>
      <w:vertAlign w:val="superscript"/>
    </w:rPr>
  </w:style>
  <w:style w:type="paragraph" w:customStyle="1" w:styleId="Manualfootnotestyle">
    <w:name w:val="Manual footnote style"/>
    <w:basedOn w:val="FootnoteText"/>
    <w:link w:val="ManualfootnotestyleChar"/>
    <w:qFormat/>
    <w:rsid w:val="00405184"/>
    <w:rPr>
      <w:sz w:val="18"/>
      <w:szCs w:val="18"/>
    </w:rPr>
  </w:style>
  <w:style w:type="character" w:customStyle="1" w:styleId="ManualfootnotestyleChar">
    <w:name w:val="Manual footnote style Char"/>
    <w:basedOn w:val="FootnoteTextChar"/>
    <w:link w:val="Manualfootnotestyle"/>
    <w:rsid w:val="00405184"/>
    <w:rPr>
      <w:sz w:val="18"/>
      <w:szCs w:val="18"/>
      <w:lang w:val="en-ZA"/>
    </w:rPr>
  </w:style>
  <w:style w:type="paragraph" w:styleId="ListParagraph">
    <w:name w:val="List Paragraph"/>
    <w:aliases w:val="Numbered Paragraphs,Bullets,References,Numbered List Paragraph,List Paragraph (numbered (a)),List Paragraph nowy,Liste 1,Numbered Paragraph,Main numbered paragraph,123 List Paragraph,List_Paragraph,Multilevel para_II,List Paragraph1,lp1"/>
    <w:basedOn w:val="Normal"/>
    <w:link w:val="ListParagraphChar"/>
    <w:uiPriority w:val="34"/>
    <w:qFormat/>
    <w:rsid w:val="00405184"/>
    <w:pPr>
      <w:ind w:left="720"/>
      <w:contextualSpacing/>
    </w:pPr>
    <w:rPr>
      <w:lang w:val="en-ZA"/>
    </w:rPr>
  </w:style>
  <w:style w:type="paragraph" w:styleId="CommentText">
    <w:name w:val="annotation text"/>
    <w:basedOn w:val="Normal"/>
    <w:link w:val="CommentTextChar"/>
    <w:uiPriority w:val="99"/>
    <w:unhideWhenUsed/>
    <w:rsid w:val="00405184"/>
    <w:pPr>
      <w:spacing w:line="240" w:lineRule="auto"/>
    </w:pPr>
    <w:rPr>
      <w:sz w:val="20"/>
      <w:szCs w:val="20"/>
      <w:lang w:val="en-ZA"/>
    </w:rPr>
  </w:style>
  <w:style w:type="character" w:customStyle="1" w:styleId="CommentTextChar">
    <w:name w:val="Comment Text Char"/>
    <w:basedOn w:val="DefaultParagraphFont"/>
    <w:link w:val="CommentText"/>
    <w:uiPriority w:val="99"/>
    <w:rsid w:val="00405184"/>
    <w:rPr>
      <w:sz w:val="20"/>
      <w:szCs w:val="20"/>
      <w:lang w:val="en-ZA"/>
    </w:rPr>
  </w:style>
  <w:style w:type="paragraph" w:styleId="Caption">
    <w:name w:val="caption"/>
    <w:basedOn w:val="Normal"/>
    <w:next w:val="Normal"/>
    <w:uiPriority w:val="35"/>
    <w:unhideWhenUsed/>
    <w:qFormat/>
    <w:rsid w:val="00405184"/>
    <w:pPr>
      <w:spacing w:after="200" w:line="240" w:lineRule="auto"/>
    </w:pPr>
    <w:rPr>
      <w:i/>
      <w:iCs/>
      <w:color w:val="44546A" w:themeColor="text2"/>
      <w:sz w:val="18"/>
      <w:szCs w:val="18"/>
      <w:lang w:val="en-ZA"/>
    </w:rPr>
  </w:style>
  <w:style w:type="character" w:styleId="CommentReference">
    <w:name w:val="annotation reference"/>
    <w:basedOn w:val="DefaultParagraphFont"/>
    <w:uiPriority w:val="99"/>
    <w:semiHidden/>
    <w:unhideWhenUsed/>
    <w:rsid w:val="00405184"/>
    <w:rPr>
      <w:sz w:val="16"/>
      <w:szCs w:val="16"/>
    </w:rPr>
  </w:style>
  <w:style w:type="paragraph" w:styleId="CommentSubject">
    <w:name w:val="annotation subject"/>
    <w:basedOn w:val="CommentText"/>
    <w:next w:val="CommentText"/>
    <w:link w:val="CommentSubjectChar"/>
    <w:uiPriority w:val="99"/>
    <w:semiHidden/>
    <w:unhideWhenUsed/>
    <w:rsid w:val="00405184"/>
    <w:rPr>
      <w:b/>
      <w:bCs/>
      <w:lang w:val="en-GB"/>
    </w:rPr>
  </w:style>
  <w:style w:type="character" w:customStyle="1" w:styleId="CommentSubjectChar">
    <w:name w:val="Comment Subject Char"/>
    <w:basedOn w:val="CommentTextChar"/>
    <w:link w:val="CommentSubject"/>
    <w:uiPriority w:val="99"/>
    <w:semiHidden/>
    <w:rsid w:val="00405184"/>
    <w:rPr>
      <w:b/>
      <w:bCs/>
      <w:sz w:val="20"/>
      <w:szCs w:val="20"/>
      <w:lang w:val="en-ZA"/>
    </w:rPr>
  </w:style>
  <w:style w:type="paragraph" w:styleId="Title">
    <w:name w:val="Title"/>
    <w:basedOn w:val="Normal"/>
    <w:next w:val="Normal"/>
    <w:link w:val="TitleChar"/>
    <w:uiPriority w:val="10"/>
    <w:qFormat/>
    <w:rsid w:val="009C6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6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C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35AA"/>
    <w:pPr>
      <w:outlineLvl w:val="9"/>
    </w:pPr>
    <w:rPr>
      <w:lang w:val="en-US"/>
    </w:rPr>
  </w:style>
  <w:style w:type="paragraph" w:styleId="TOC1">
    <w:name w:val="toc 1"/>
    <w:basedOn w:val="Normal"/>
    <w:next w:val="Normal"/>
    <w:autoRedefine/>
    <w:uiPriority w:val="39"/>
    <w:unhideWhenUsed/>
    <w:rsid w:val="00F335AA"/>
    <w:pPr>
      <w:spacing w:after="100"/>
    </w:pPr>
  </w:style>
  <w:style w:type="paragraph" w:styleId="TOC2">
    <w:name w:val="toc 2"/>
    <w:basedOn w:val="Normal"/>
    <w:next w:val="Normal"/>
    <w:autoRedefine/>
    <w:uiPriority w:val="39"/>
    <w:unhideWhenUsed/>
    <w:rsid w:val="002835EB"/>
    <w:pPr>
      <w:tabs>
        <w:tab w:val="right" w:leader="dot" w:pos="9016"/>
      </w:tabs>
      <w:spacing w:after="100"/>
      <w:ind w:left="220"/>
    </w:pPr>
  </w:style>
  <w:style w:type="character" w:styleId="Hyperlink">
    <w:name w:val="Hyperlink"/>
    <w:basedOn w:val="DefaultParagraphFont"/>
    <w:uiPriority w:val="99"/>
    <w:unhideWhenUsed/>
    <w:rsid w:val="00F335AA"/>
    <w:rPr>
      <w:color w:val="0563C1" w:themeColor="hyperlink"/>
      <w:u w:val="single"/>
    </w:rPr>
  </w:style>
  <w:style w:type="character" w:customStyle="1" w:styleId="Heading3Char">
    <w:name w:val="Heading 3 Char"/>
    <w:basedOn w:val="DefaultParagraphFont"/>
    <w:link w:val="Heading3"/>
    <w:uiPriority w:val="9"/>
    <w:rsid w:val="00F335AA"/>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aliases w:val="Numbered Paragraphs Char,Bullets Char,References Char,Numbered List Paragraph Char,List Paragraph (numbered (a)) Char,List Paragraph nowy Char,Liste 1 Char,Numbered Paragraph Char,Main numbered paragraph Char,123 List Paragraph Char"/>
    <w:basedOn w:val="DefaultParagraphFont"/>
    <w:link w:val="ListParagraph"/>
    <w:uiPriority w:val="34"/>
    <w:qFormat/>
    <w:locked/>
    <w:rsid w:val="003157AD"/>
    <w:rPr>
      <w:lang w:val="en-ZA"/>
    </w:rPr>
  </w:style>
  <w:style w:type="paragraph" w:styleId="TOC3">
    <w:name w:val="toc 3"/>
    <w:basedOn w:val="Normal"/>
    <w:next w:val="Normal"/>
    <w:autoRedefine/>
    <w:uiPriority w:val="39"/>
    <w:unhideWhenUsed/>
    <w:rsid w:val="00730B74"/>
    <w:pPr>
      <w:tabs>
        <w:tab w:val="right" w:leader="dot" w:pos="9016"/>
      </w:tabs>
      <w:spacing w:after="100"/>
      <w:ind w:left="440"/>
    </w:pPr>
  </w:style>
  <w:style w:type="character" w:customStyle="1" w:styleId="Heading4Char">
    <w:name w:val="Heading 4 Char"/>
    <w:basedOn w:val="DefaultParagraphFont"/>
    <w:link w:val="Heading4"/>
    <w:uiPriority w:val="9"/>
    <w:rsid w:val="0052388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B74B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643905"/>
  </w:style>
  <w:style w:type="paragraph" w:styleId="Revision">
    <w:name w:val="Revision"/>
    <w:hidden/>
    <w:uiPriority w:val="99"/>
    <w:semiHidden/>
    <w:rsid w:val="00B52917"/>
    <w:pPr>
      <w:spacing w:after="0" w:line="240" w:lineRule="auto"/>
    </w:pPr>
  </w:style>
  <w:style w:type="paragraph" w:styleId="NormalWeb">
    <w:name w:val="Normal (Web)"/>
    <w:basedOn w:val="Normal"/>
    <w:uiPriority w:val="99"/>
    <w:semiHidden/>
    <w:unhideWhenUsed/>
    <w:rsid w:val="00FA35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6321">
      <w:bodyDiv w:val="1"/>
      <w:marLeft w:val="0"/>
      <w:marRight w:val="0"/>
      <w:marTop w:val="0"/>
      <w:marBottom w:val="0"/>
      <w:divBdr>
        <w:top w:val="none" w:sz="0" w:space="0" w:color="auto"/>
        <w:left w:val="none" w:sz="0" w:space="0" w:color="auto"/>
        <w:bottom w:val="none" w:sz="0" w:space="0" w:color="auto"/>
        <w:right w:val="none" w:sz="0" w:space="0" w:color="auto"/>
      </w:divBdr>
    </w:div>
    <w:div w:id="75249677">
      <w:bodyDiv w:val="1"/>
      <w:marLeft w:val="0"/>
      <w:marRight w:val="0"/>
      <w:marTop w:val="0"/>
      <w:marBottom w:val="0"/>
      <w:divBdr>
        <w:top w:val="none" w:sz="0" w:space="0" w:color="auto"/>
        <w:left w:val="none" w:sz="0" w:space="0" w:color="auto"/>
        <w:bottom w:val="none" w:sz="0" w:space="0" w:color="auto"/>
        <w:right w:val="none" w:sz="0" w:space="0" w:color="auto"/>
      </w:divBdr>
    </w:div>
    <w:div w:id="438642655">
      <w:bodyDiv w:val="1"/>
      <w:marLeft w:val="0"/>
      <w:marRight w:val="0"/>
      <w:marTop w:val="0"/>
      <w:marBottom w:val="0"/>
      <w:divBdr>
        <w:top w:val="none" w:sz="0" w:space="0" w:color="auto"/>
        <w:left w:val="none" w:sz="0" w:space="0" w:color="auto"/>
        <w:bottom w:val="none" w:sz="0" w:space="0" w:color="auto"/>
        <w:right w:val="none" w:sz="0" w:space="0" w:color="auto"/>
      </w:divBdr>
      <w:divsChild>
        <w:div w:id="241793393">
          <w:marLeft w:val="0"/>
          <w:marRight w:val="0"/>
          <w:marTop w:val="0"/>
          <w:marBottom w:val="0"/>
          <w:divBdr>
            <w:top w:val="none" w:sz="0" w:space="0" w:color="auto"/>
            <w:left w:val="none" w:sz="0" w:space="0" w:color="auto"/>
            <w:bottom w:val="none" w:sz="0" w:space="0" w:color="auto"/>
            <w:right w:val="none" w:sz="0" w:space="0" w:color="auto"/>
          </w:divBdr>
        </w:div>
        <w:div w:id="622884562">
          <w:marLeft w:val="0"/>
          <w:marRight w:val="0"/>
          <w:marTop w:val="0"/>
          <w:marBottom w:val="0"/>
          <w:divBdr>
            <w:top w:val="none" w:sz="0" w:space="0" w:color="auto"/>
            <w:left w:val="none" w:sz="0" w:space="0" w:color="auto"/>
            <w:bottom w:val="none" w:sz="0" w:space="0" w:color="auto"/>
            <w:right w:val="none" w:sz="0" w:space="0" w:color="auto"/>
          </w:divBdr>
        </w:div>
        <w:div w:id="820006852">
          <w:marLeft w:val="0"/>
          <w:marRight w:val="0"/>
          <w:marTop w:val="0"/>
          <w:marBottom w:val="0"/>
          <w:divBdr>
            <w:top w:val="none" w:sz="0" w:space="0" w:color="auto"/>
            <w:left w:val="none" w:sz="0" w:space="0" w:color="auto"/>
            <w:bottom w:val="none" w:sz="0" w:space="0" w:color="auto"/>
            <w:right w:val="none" w:sz="0" w:space="0" w:color="auto"/>
          </w:divBdr>
        </w:div>
      </w:divsChild>
    </w:div>
    <w:div w:id="669790261">
      <w:bodyDiv w:val="1"/>
      <w:marLeft w:val="0"/>
      <w:marRight w:val="0"/>
      <w:marTop w:val="0"/>
      <w:marBottom w:val="0"/>
      <w:divBdr>
        <w:top w:val="none" w:sz="0" w:space="0" w:color="auto"/>
        <w:left w:val="none" w:sz="0" w:space="0" w:color="auto"/>
        <w:bottom w:val="none" w:sz="0" w:space="0" w:color="auto"/>
        <w:right w:val="none" w:sz="0" w:space="0" w:color="auto"/>
      </w:divBdr>
    </w:div>
    <w:div w:id="732435670">
      <w:bodyDiv w:val="1"/>
      <w:marLeft w:val="0"/>
      <w:marRight w:val="0"/>
      <w:marTop w:val="0"/>
      <w:marBottom w:val="0"/>
      <w:divBdr>
        <w:top w:val="none" w:sz="0" w:space="0" w:color="auto"/>
        <w:left w:val="none" w:sz="0" w:space="0" w:color="auto"/>
        <w:bottom w:val="none" w:sz="0" w:space="0" w:color="auto"/>
        <w:right w:val="none" w:sz="0" w:space="0" w:color="auto"/>
      </w:divBdr>
    </w:div>
    <w:div w:id="804618213">
      <w:bodyDiv w:val="1"/>
      <w:marLeft w:val="0"/>
      <w:marRight w:val="0"/>
      <w:marTop w:val="0"/>
      <w:marBottom w:val="0"/>
      <w:divBdr>
        <w:top w:val="none" w:sz="0" w:space="0" w:color="auto"/>
        <w:left w:val="none" w:sz="0" w:space="0" w:color="auto"/>
        <w:bottom w:val="none" w:sz="0" w:space="0" w:color="auto"/>
        <w:right w:val="none" w:sz="0" w:space="0" w:color="auto"/>
      </w:divBdr>
      <w:divsChild>
        <w:div w:id="304312249">
          <w:marLeft w:val="0"/>
          <w:marRight w:val="0"/>
          <w:marTop w:val="0"/>
          <w:marBottom w:val="0"/>
          <w:divBdr>
            <w:top w:val="none" w:sz="0" w:space="0" w:color="auto"/>
            <w:left w:val="none" w:sz="0" w:space="0" w:color="auto"/>
            <w:bottom w:val="none" w:sz="0" w:space="0" w:color="auto"/>
            <w:right w:val="none" w:sz="0" w:space="0" w:color="auto"/>
          </w:divBdr>
        </w:div>
      </w:divsChild>
    </w:div>
    <w:div w:id="859706299">
      <w:bodyDiv w:val="1"/>
      <w:marLeft w:val="0"/>
      <w:marRight w:val="0"/>
      <w:marTop w:val="0"/>
      <w:marBottom w:val="0"/>
      <w:divBdr>
        <w:top w:val="none" w:sz="0" w:space="0" w:color="auto"/>
        <w:left w:val="none" w:sz="0" w:space="0" w:color="auto"/>
        <w:bottom w:val="none" w:sz="0" w:space="0" w:color="auto"/>
        <w:right w:val="none" w:sz="0" w:space="0" w:color="auto"/>
      </w:divBdr>
    </w:div>
    <w:div w:id="905066187">
      <w:bodyDiv w:val="1"/>
      <w:marLeft w:val="0"/>
      <w:marRight w:val="0"/>
      <w:marTop w:val="0"/>
      <w:marBottom w:val="0"/>
      <w:divBdr>
        <w:top w:val="none" w:sz="0" w:space="0" w:color="auto"/>
        <w:left w:val="none" w:sz="0" w:space="0" w:color="auto"/>
        <w:bottom w:val="none" w:sz="0" w:space="0" w:color="auto"/>
        <w:right w:val="none" w:sz="0" w:space="0" w:color="auto"/>
      </w:divBdr>
      <w:divsChild>
        <w:div w:id="213276966">
          <w:marLeft w:val="0"/>
          <w:marRight w:val="0"/>
          <w:marTop w:val="0"/>
          <w:marBottom w:val="0"/>
          <w:divBdr>
            <w:top w:val="none" w:sz="0" w:space="0" w:color="auto"/>
            <w:left w:val="none" w:sz="0" w:space="0" w:color="auto"/>
            <w:bottom w:val="none" w:sz="0" w:space="0" w:color="auto"/>
            <w:right w:val="none" w:sz="0" w:space="0" w:color="auto"/>
          </w:divBdr>
        </w:div>
        <w:div w:id="1000042403">
          <w:marLeft w:val="0"/>
          <w:marRight w:val="0"/>
          <w:marTop w:val="0"/>
          <w:marBottom w:val="0"/>
          <w:divBdr>
            <w:top w:val="none" w:sz="0" w:space="0" w:color="auto"/>
            <w:left w:val="none" w:sz="0" w:space="0" w:color="auto"/>
            <w:bottom w:val="none" w:sz="0" w:space="0" w:color="auto"/>
            <w:right w:val="none" w:sz="0" w:space="0" w:color="auto"/>
          </w:divBdr>
        </w:div>
        <w:div w:id="1421023275">
          <w:marLeft w:val="0"/>
          <w:marRight w:val="0"/>
          <w:marTop w:val="0"/>
          <w:marBottom w:val="0"/>
          <w:divBdr>
            <w:top w:val="none" w:sz="0" w:space="0" w:color="auto"/>
            <w:left w:val="none" w:sz="0" w:space="0" w:color="auto"/>
            <w:bottom w:val="none" w:sz="0" w:space="0" w:color="auto"/>
            <w:right w:val="none" w:sz="0" w:space="0" w:color="auto"/>
          </w:divBdr>
        </w:div>
        <w:div w:id="1750468909">
          <w:marLeft w:val="0"/>
          <w:marRight w:val="0"/>
          <w:marTop w:val="0"/>
          <w:marBottom w:val="0"/>
          <w:divBdr>
            <w:top w:val="none" w:sz="0" w:space="0" w:color="auto"/>
            <w:left w:val="none" w:sz="0" w:space="0" w:color="auto"/>
            <w:bottom w:val="none" w:sz="0" w:space="0" w:color="auto"/>
            <w:right w:val="none" w:sz="0" w:space="0" w:color="auto"/>
          </w:divBdr>
        </w:div>
        <w:div w:id="1797946806">
          <w:marLeft w:val="0"/>
          <w:marRight w:val="0"/>
          <w:marTop w:val="0"/>
          <w:marBottom w:val="0"/>
          <w:divBdr>
            <w:top w:val="none" w:sz="0" w:space="0" w:color="auto"/>
            <w:left w:val="none" w:sz="0" w:space="0" w:color="auto"/>
            <w:bottom w:val="none" w:sz="0" w:space="0" w:color="auto"/>
            <w:right w:val="none" w:sz="0" w:space="0" w:color="auto"/>
          </w:divBdr>
        </w:div>
      </w:divsChild>
    </w:div>
    <w:div w:id="1270820142">
      <w:bodyDiv w:val="1"/>
      <w:marLeft w:val="0"/>
      <w:marRight w:val="0"/>
      <w:marTop w:val="0"/>
      <w:marBottom w:val="0"/>
      <w:divBdr>
        <w:top w:val="none" w:sz="0" w:space="0" w:color="auto"/>
        <w:left w:val="none" w:sz="0" w:space="0" w:color="auto"/>
        <w:bottom w:val="none" w:sz="0" w:space="0" w:color="auto"/>
        <w:right w:val="none" w:sz="0" w:space="0" w:color="auto"/>
      </w:divBdr>
      <w:divsChild>
        <w:div w:id="68970149">
          <w:marLeft w:val="0"/>
          <w:marRight w:val="0"/>
          <w:marTop w:val="0"/>
          <w:marBottom w:val="0"/>
          <w:divBdr>
            <w:top w:val="none" w:sz="0" w:space="0" w:color="auto"/>
            <w:left w:val="none" w:sz="0" w:space="0" w:color="auto"/>
            <w:bottom w:val="none" w:sz="0" w:space="0" w:color="auto"/>
            <w:right w:val="none" w:sz="0" w:space="0" w:color="auto"/>
          </w:divBdr>
        </w:div>
        <w:div w:id="906645191">
          <w:marLeft w:val="0"/>
          <w:marRight w:val="0"/>
          <w:marTop w:val="0"/>
          <w:marBottom w:val="0"/>
          <w:divBdr>
            <w:top w:val="none" w:sz="0" w:space="0" w:color="auto"/>
            <w:left w:val="none" w:sz="0" w:space="0" w:color="auto"/>
            <w:bottom w:val="none" w:sz="0" w:space="0" w:color="auto"/>
            <w:right w:val="none" w:sz="0" w:space="0" w:color="auto"/>
          </w:divBdr>
        </w:div>
        <w:div w:id="1167095396">
          <w:marLeft w:val="0"/>
          <w:marRight w:val="0"/>
          <w:marTop w:val="0"/>
          <w:marBottom w:val="0"/>
          <w:divBdr>
            <w:top w:val="none" w:sz="0" w:space="0" w:color="auto"/>
            <w:left w:val="none" w:sz="0" w:space="0" w:color="auto"/>
            <w:bottom w:val="none" w:sz="0" w:space="0" w:color="auto"/>
            <w:right w:val="none" w:sz="0" w:space="0" w:color="auto"/>
          </w:divBdr>
        </w:div>
        <w:div w:id="1599756480">
          <w:marLeft w:val="0"/>
          <w:marRight w:val="0"/>
          <w:marTop w:val="0"/>
          <w:marBottom w:val="0"/>
          <w:divBdr>
            <w:top w:val="none" w:sz="0" w:space="0" w:color="auto"/>
            <w:left w:val="none" w:sz="0" w:space="0" w:color="auto"/>
            <w:bottom w:val="none" w:sz="0" w:space="0" w:color="auto"/>
            <w:right w:val="none" w:sz="0" w:space="0" w:color="auto"/>
          </w:divBdr>
        </w:div>
        <w:div w:id="1779913218">
          <w:marLeft w:val="0"/>
          <w:marRight w:val="0"/>
          <w:marTop w:val="0"/>
          <w:marBottom w:val="0"/>
          <w:divBdr>
            <w:top w:val="none" w:sz="0" w:space="0" w:color="auto"/>
            <w:left w:val="none" w:sz="0" w:space="0" w:color="auto"/>
            <w:bottom w:val="none" w:sz="0" w:space="0" w:color="auto"/>
            <w:right w:val="none" w:sz="0" w:space="0" w:color="auto"/>
          </w:divBdr>
        </w:div>
        <w:div w:id="2012248228">
          <w:marLeft w:val="0"/>
          <w:marRight w:val="0"/>
          <w:marTop w:val="0"/>
          <w:marBottom w:val="0"/>
          <w:divBdr>
            <w:top w:val="none" w:sz="0" w:space="0" w:color="auto"/>
            <w:left w:val="none" w:sz="0" w:space="0" w:color="auto"/>
            <w:bottom w:val="none" w:sz="0" w:space="0" w:color="auto"/>
            <w:right w:val="none" w:sz="0" w:space="0" w:color="auto"/>
          </w:divBdr>
        </w:div>
      </w:divsChild>
    </w:div>
    <w:div w:id="1348600974">
      <w:bodyDiv w:val="1"/>
      <w:marLeft w:val="0"/>
      <w:marRight w:val="0"/>
      <w:marTop w:val="0"/>
      <w:marBottom w:val="0"/>
      <w:divBdr>
        <w:top w:val="none" w:sz="0" w:space="0" w:color="auto"/>
        <w:left w:val="none" w:sz="0" w:space="0" w:color="auto"/>
        <w:bottom w:val="none" w:sz="0" w:space="0" w:color="auto"/>
        <w:right w:val="none" w:sz="0" w:space="0" w:color="auto"/>
      </w:divBdr>
    </w:div>
    <w:div w:id="1724017792">
      <w:bodyDiv w:val="1"/>
      <w:marLeft w:val="0"/>
      <w:marRight w:val="0"/>
      <w:marTop w:val="0"/>
      <w:marBottom w:val="0"/>
      <w:divBdr>
        <w:top w:val="none" w:sz="0" w:space="0" w:color="auto"/>
        <w:left w:val="none" w:sz="0" w:space="0" w:color="auto"/>
        <w:bottom w:val="none" w:sz="0" w:space="0" w:color="auto"/>
        <w:right w:val="none" w:sz="0" w:space="0" w:color="auto"/>
      </w:divBdr>
    </w:div>
    <w:div w:id="1860004409">
      <w:bodyDiv w:val="1"/>
      <w:marLeft w:val="0"/>
      <w:marRight w:val="0"/>
      <w:marTop w:val="0"/>
      <w:marBottom w:val="0"/>
      <w:divBdr>
        <w:top w:val="none" w:sz="0" w:space="0" w:color="auto"/>
        <w:left w:val="none" w:sz="0" w:space="0" w:color="auto"/>
        <w:bottom w:val="none" w:sz="0" w:space="0" w:color="auto"/>
        <w:right w:val="none" w:sz="0" w:space="0" w:color="auto"/>
      </w:divBdr>
    </w:div>
    <w:div w:id="1958949580">
      <w:bodyDiv w:val="1"/>
      <w:marLeft w:val="0"/>
      <w:marRight w:val="0"/>
      <w:marTop w:val="0"/>
      <w:marBottom w:val="0"/>
      <w:divBdr>
        <w:top w:val="none" w:sz="0" w:space="0" w:color="auto"/>
        <w:left w:val="none" w:sz="0" w:space="0" w:color="auto"/>
        <w:bottom w:val="none" w:sz="0" w:space="0" w:color="auto"/>
        <w:right w:val="none" w:sz="0" w:space="0" w:color="auto"/>
      </w:divBdr>
    </w:div>
    <w:div w:id="2027249917">
      <w:bodyDiv w:val="1"/>
      <w:marLeft w:val="0"/>
      <w:marRight w:val="0"/>
      <w:marTop w:val="0"/>
      <w:marBottom w:val="0"/>
      <w:divBdr>
        <w:top w:val="none" w:sz="0" w:space="0" w:color="auto"/>
        <w:left w:val="none" w:sz="0" w:space="0" w:color="auto"/>
        <w:bottom w:val="none" w:sz="0" w:space="0" w:color="auto"/>
        <w:right w:val="none" w:sz="0" w:space="0" w:color="auto"/>
      </w:divBdr>
    </w:div>
    <w:div w:id="2144538418">
      <w:bodyDiv w:val="1"/>
      <w:marLeft w:val="0"/>
      <w:marRight w:val="0"/>
      <w:marTop w:val="0"/>
      <w:marBottom w:val="0"/>
      <w:divBdr>
        <w:top w:val="none" w:sz="0" w:space="0" w:color="auto"/>
        <w:left w:val="none" w:sz="0" w:space="0" w:color="auto"/>
        <w:bottom w:val="none" w:sz="0" w:space="0" w:color="auto"/>
        <w:right w:val="none" w:sz="0" w:space="0" w:color="auto"/>
      </w:divBdr>
      <w:divsChild>
        <w:div w:id="448282571">
          <w:marLeft w:val="0"/>
          <w:marRight w:val="0"/>
          <w:marTop w:val="0"/>
          <w:marBottom w:val="0"/>
          <w:divBdr>
            <w:top w:val="none" w:sz="0" w:space="0" w:color="auto"/>
            <w:left w:val="none" w:sz="0" w:space="0" w:color="auto"/>
            <w:bottom w:val="none" w:sz="0" w:space="0" w:color="auto"/>
            <w:right w:val="none" w:sz="0" w:space="0" w:color="auto"/>
          </w:divBdr>
        </w:div>
        <w:div w:id="648557786">
          <w:marLeft w:val="0"/>
          <w:marRight w:val="0"/>
          <w:marTop w:val="0"/>
          <w:marBottom w:val="0"/>
          <w:divBdr>
            <w:top w:val="none" w:sz="0" w:space="0" w:color="auto"/>
            <w:left w:val="none" w:sz="0" w:space="0" w:color="auto"/>
            <w:bottom w:val="none" w:sz="0" w:space="0" w:color="auto"/>
            <w:right w:val="none" w:sz="0" w:space="0" w:color="auto"/>
          </w:divBdr>
        </w:div>
        <w:div w:id="862208342">
          <w:marLeft w:val="0"/>
          <w:marRight w:val="0"/>
          <w:marTop w:val="0"/>
          <w:marBottom w:val="0"/>
          <w:divBdr>
            <w:top w:val="none" w:sz="0" w:space="0" w:color="auto"/>
            <w:left w:val="none" w:sz="0" w:space="0" w:color="auto"/>
            <w:bottom w:val="none" w:sz="0" w:space="0" w:color="auto"/>
            <w:right w:val="none" w:sz="0" w:space="0" w:color="auto"/>
          </w:divBdr>
        </w:div>
        <w:div w:id="1870802054">
          <w:marLeft w:val="0"/>
          <w:marRight w:val="0"/>
          <w:marTop w:val="0"/>
          <w:marBottom w:val="0"/>
          <w:divBdr>
            <w:top w:val="none" w:sz="0" w:space="0" w:color="auto"/>
            <w:left w:val="none" w:sz="0" w:space="0" w:color="auto"/>
            <w:bottom w:val="none" w:sz="0" w:space="0" w:color="auto"/>
            <w:right w:val="none" w:sz="0" w:space="0" w:color="auto"/>
          </w:divBdr>
        </w:div>
        <w:div w:id="20083620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60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1E7D-01BA-4ADA-8C1C-2679422A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Schers</dc:creator>
  <cp:keywords/>
  <dc:description/>
  <cp:lastModifiedBy>Jules Schers</cp:lastModifiedBy>
  <cp:revision>4</cp:revision>
  <dcterms:created xsi:type="dcterms:W3CDTF">2023-02-03T23:53:00Z</dcterms:created>
  <dcterms:modified xsi:type="dcterms:W3CDTF">2023-02-03T23:56:00Z</dcterms:modified>
</cp:coreProperties>
</file>