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2C9A" w14:textId="1F463F35" w:rsidR="00944593" w:rsidRDefault="006C5119">
      <w:pPr>
        <w:rPr>
          <w:b/>
          <w:bCs/>
          <w:lang w:val="en-US"/>
        </w:rPr>
      </w:pPr>
      <w:r w:rsidRPr="006C5119">
        <w:rPr>
          <w:b/>
          <w:bCs/>
          <w:lang w:val="en-US"/>
        </w:rPr>
        <w:t>Summary of Transport Scenario Runs 15/11/2022</w:t>
      </w:r>
    </w:p>
    <w:p w14:paraId="4D728A12" w14:textId="36250C06" w:rsidR="000C61AF" w:rsidRDefault="004C4A62">
      <w:pPr>
        <w:rPr>
          <w:lang w:val="en-US"/>
        </w:rPr>
      </w:pPr>
      <w:r>
        <w:rPr>
          <w:lang w:val="en-US"/>
        </w:rPr>
        <w:t>In summary, at the current parameterization (more details follow below), the Rural Universal Access scenario comes out best in terms of GDP growth, while the Rural CUG scenario comes out worst.</w:t>
      </w:r>
      <w:r w:rsidR="008B70DA">
        <w:rPr>
          <w:rStyle w:val="FootnoteReference"/>
          <w:lang w:val="en-US"/>
        </w:rPr>
        <w:footnoteReference w:id="1"/>
      </w:r>
      <w:r>
        <w:rPr>
          <w:lang w:val="en-US"/>
        </w:rPr>
        <w:t xml:space="preserve"> The urban scenarios are in-between. </w:t>
      </w:r>
      <w:r w:rsidR="00A55A55">
        <w:rPr>
          <w:lang w:val="en-US"/>
        </w:rPr>
        <w:t xml:space="preserve"> </w:t>
      </w:r>
      <w:r w:rsidR="000C61AF">
        <w:rPr>
          <w:lang w:val="en-US"/>
        </w:rPr>
        <w:t xml:space="preserve">The Urban BAU scenario </w:t>
      </w:r>
      <w:r w:rsidR="00A55A55">
        <w:rPr>
          <w:lang w:val="en-US"/>
        </w:rPr>
        <w:t>should</w:t>
      </w:r>
      <w:r w:rsidR="000C61AF">
        <w:rPr>
          <w:lang w:val="en-US"/>
        </w:rPr>
        <w:t xml:space="preserve"> be considered the new reference </w:t>
      </w:r>
      <w:proofErr w:type="gramStart"/>
      <w:r w:rsidR="000C61AF">
        <w:rPr>
          <w:lang w:val="en-US"/>
        </w:rPr>
        <w:t>scenario, because</w:t>
      </w:r>
      <w:proofErr w:type="gramEnd"/>
      <w:r w:rsidR="000C61AF">
        <w:rPr>
          <w:lang w:val="en-US"/>
        </w:rPr>
        <w:t xml:space="preserve"> it takes into account costs which the No Investment baseline scenario does not, while productivity does not change as there is no gain in road or public transport network yet.</w:t>
      </w:r>
    </w:p>
    <w:p w14:paraId="32128C3F" w14:textId="7168FD1B" w:rsidR="000C61AF" w:rsidRDefault="00AA4CA9">
      <w:pPr>
        <w:rPr>
          <w:lang w:val="en-US"/>
        </w:rPr>
      </w:pPr>
      <w:r>
        <w:rPr>
          <w:lang w:val="en-US"/>
        </w:rPr>
        <w:t xml:space="preserve">Until 2030 </w:t>
      </w:r>
      <w:r w:rsidR="002F3695">
        <w:rPr>
          <w:lang w:val="en-US"/>
        </w:rPr>
        <w:t xml:space="preserve">the main mechanism </w:t>
      </w:r>
      <w:r w:rsidR="004540D9">
        <w:rPr>
          <w:lang w:val="en-US"/>
        </w:rPr>
        <w:t xml:space="preserve">at play </w:t>
      </w:r>
      <w:r w:rsidR="002F3695">
        <w:rPr>
          <w:lang w:val="en-US"/>
        </w:rPr>
        <w:t>is the balance between TFP growth (positive impact) and investment in non-productive capital (roads and a part of public transport). After 2030, the additional investment component falls away, and the main impact is maintenance costs. TFP continues to grow</w:t>
      </w:r>
      <w:r w:rsidR="000F01AF">
        <w:rPr>
          <w:lang w:val="en-US"/>
        </w:rPr>
        <w:t>, but now</w:t>
      </w:r>
      <w:r w:rsidR="002F3695">
        <w:rPr>
          <w:lang w:val="en-US"/>
        </w:rPr>
        <w:t xml:space="preserve"> according to </w:t>
      </w:r>
      <w:r w:rsidR="000F01AF">
        <w:rPr>
          <w:lang w:val="en-US"/>
        </w:rPr>
        <w:t xml:space="preserve">its </w:t>
      </w:r>
      <w:r w:rsidR="002F3695">
        <w:rPr>
          <w:lang w:val="en-US"/>
        </w:rPr>
        <w:t xml:space="preserve">reference </w:t>
      </w:r>
      <w:r w:rsidR="000F01AF">
        <w:rPr>
          <w:lang w:val="en-US"/>
        </w:rPr>
        <w:t xml:space="preserve">growth, but </w:t>
      </w:r>
      <w:r w:rsidR="002F3695">
        <w:rPr>
          <w:lang w:val="en-US"/>
        </w:rPr>
        <w:t xml:space="preserve">from </w:t>
      </w:r>
      <w:r w:rsidR="000F01AF">
        <w:rPr>
          <w:lang w:val="en-US"/>
        </w:rPr>
        <w:t xml:space="preserve">a new (mostly) </w:t>
      </w:r>
      <w:r w:rsidR="002F3695">
        <w:rPr>
          <w:lang w:val="en-US"/>
        </w:rPr>
        <w:t xml:space="preserve">higher level in 2030. </w:t>
      </w:r>
      <w:r w:rsidR="000C61AF">
        <w:rPr>
          <w:lang w:val="en-US"/>
        </w:rPr>
        <w:t>The IRT and ERT scenarios</w:t>
      </w:r>
      <w:r w:rsidR="004540D9">
        <w:rPr>
          <w:lang w:val="en-US"/>
        </w:rPr>
        <w:t xml:space="preserve"> have higher continued O&amp;M expenditure for government</w:t>
      </w:r>
      <w:r w:rsidR="00F40724">
        <w:rPr>
          <w:lang w:val="en-US"/>
        </w:rPr>
        <w:t>, where Rural scenarios rely more on capital investment</w:t>
      </w:r>
      <w:r w:rsidR="000F01AF">
        <w:rPr>
          <w:lang w:val="en-US"/>
        </w:rPr>
        <w:t>, which explains the divergence with the Rural UA scenario</w:t>
      </w:r>
      <w:r w:rsidR="004540D9">
        <w:rPr>
          <w:lang w:val="en-US"/>
        </w:rPr>
        <w:t>.</w:t>
      </w:r>
    </w:p>
    <w:p w14:paraId="64F38F25" w14:textId="2B725368" w:rsidR="004C4A62" w:rsidRPr="003047B5" w:rsidRDefault="005D2870" w:rsidP="003047B5">
      <w:pPr>
        <w:rPr>
          <w:lang w:val="en-US"/>
        </w:rPr>
      </w:pPr>
      <w:r>
        <w:rPr>
          <w:lang w:val="en-US"/>
        </w:rPr>
        <w:t xml:space="preserve">In the </w:t>
      </w:r>
      <w:commentRangeStart w:id="0"/>
      <w:r>
        <w:rPr>
          <w:lang w:val="en-US"/>
        </w:rPr>
        <w:t xml:space="preserve">Rural UA </w:t>
      </w:r>
      <w:commentRangeEnd w:id="0"/>
      <w:r w:rsidR="005516B3">
        <w:rPr>
          <w:rStyle w:val="CommentReference"/>
        </w:rPr>
        <w:commentReference w:id="0"/>
      </w:r>
      <w:r w:rsidR="001E3937">
        <w:rPr>
          <w:lang w:val="en-US"/>
        </w:rPr>
        <w:t xml:space="preserve">and Urban IRT </w:t>
      </w:r>
      <w:r w:rsidR="001E3937">
        <w:rPr>
          <w:lang w:val="en-US"/>
        </w:rPr>
        <w:t>scenario</w:t>
      </w:r>
      <w:r w:rsidR="001E3937">
        <w:rPr>
          <w:lang w:val="en-US"/>
        </w:rPr>
        <w:t>s</w:t>
      </w:r>
      <w:r w:rsidR="001E3937">
        <w:rPr>
          <w:lang w:val="en-US"/>
        </w:rPr>
        <w:t xml:space="preserve"> </w:t>
      </w:r>
      <w:r>
        <w:rPr>
          <w:lang w:val="en-US"/>
        </w:rPr>
        <w:t xml:space="preserve">TFP growth </w:t>
      </w:r>
      <w:r w:rsidR="001E3937">
        <w:rPr>
          <w:lang w:val="en-US"/>
        </w:rPr>
        <w:t xml:space="preserve">causes </w:t>
      </w:r>
      <w:r>
        <w:rPr>
          <w:lang w:val="en-US"/>
        </w:rPr>
        <w:t>sufficient income growth to avoid strong tax increases. Urban IRT and ERT scenarios see strong increases of direct taxes to fund investment and O&amp;M.</w:t>
      </w:r>
    </w:p>
    <w:p w14:paraId="77F7EF07" w14:textId="3E528283" w:rsidR="006C5119" w:rsidRDefault="004C4A62">
      <w:pPr>
        <w:rPr>
          <w:lang w:val="en-US"/>
        </w:rPr>
      </w:pPr>
      <w:r>
        <w:rPr>
          <w:noProof/>
        </w:rPr>
        <w:drawing>
          <wp:inline distT="0" distB="0" distL="0" distR="0" wp14:anchorId="3D3D6FB7" wp14:editId="3FADDA7F">
            <wp:extent cx="5198110" cy="3797300"/>
            <wp:effectExtent l="0" t="0" r="0" b="0"/>
            <wp:docPr id="1" name="Chart 1">
              <a:extLst xmlns:a="http://schemas.openxmlformats.org/drawingml/2006/main">
                <a:ext uri="{FF2B5EF4-FFF2-40B4-BE49-F238E27FC236}">
                  <a16:creationId xmlns:a16="http://schemas.microsoft.com/office/drawing/2014/main" id="{619B2D30-7529-4B23-3769-5F29E3E63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EF89E" w14:textId="5BF67AD2" w:rsidR="005F6D5F" w:rsidRPr="005F6D5F" w:rsidRDefault="005F6D5F" w:rsidP="001E3937">
      <w:pPr>
        <w:pStyle w:val="ListParagraph"/>
        <w:rPr>
          <w:b/>
          <w:bCs/>
          <w:lang w:val="en-US"/>
        </w:rPr>
        <w:sectPr w:rsidR="005F6D5F" w:rsidRPr="005F6D5F">
          <w:pgSz w:w="11906" w:h="16838"/>
          <w:pgMar w:top="1440" w:right="1440" w:bottom="1440" w:left="1440" w:header="708" w:footer="708" w:gutter="0"/>
          <w:cols w:space="708"/>
          <w:docGrid w:linePitch="360"/>
        </w:sectPr>
      </w:pPr>
    </w:p>
    <w:p w14:paraId="7E65B6ED" w14:textId="51D238F7" w:rsidR="00FB329C" w:rsidRPr="005D2870" w:rsidRDefault="00FB329C">
      <w:pPr>
        <w:rPr>
          <w:b/>
          <w:bCs/>
          <w:u w:val="single"/>
          <w:lang w:val="en-US"/>
        </w:rPr>
      </w:pPr>
      <w:r w:rsidRPr="005D2870">
        <w:rPr>
          <w:b/>
          <w:bCs/>
          <w:u w:val="single"/>
          <w:lang w:val="en-US"/>
        </w:rPr>
        <w:lastRenderedPageBreak/>
        <w:t>Scenario parameterization</w:t>
      </w:r>
    </w:p>
    <w:p w14:paraId="21C47AF1" w14:textId="46ADE753" w:rsidR="00FB329C" w:rsidRDefault="00FB329C">
      <w:pPr>
        <w:rPr>
          <w:b/>
          <w:bCs/>
          <w:lang w:val="en-US"/>
        </w:rPr>
      </w:pPr>
      <w:r w:rsidRPr="00FB329C">
        <w:rPr>
          <w:b/>
          <w:bCs/>
          <w:lang w:val="en-US"/>
        </w:rPr>
        <w:t>TFP impact</w:t>
      </w:r>
      <w:r>
        <w:rPr>
          <w:b/>
          <w:bCs/>
          <w:lang w:val="en-US"/>
        </w:rPr>
        <w:t xml:space="preserve"> parameters:</w:t>
      </w:r>
      <w:r>
        <w:rPr>
          <w:lang w:val="en-US"/>
        </w:rPr>
        <w:br/>
      </w:r>
      <w:r w:rsidRPr="00FB329C">
        <w:drawing>
          <wp:inline distT="0" distB="0" distL="0" distR="0" wp14:anchorId="366ACDF1" wp14:editId="5A354E84">
            <wp:extent cx="6457185" cy="216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0553" cy="2165209"/>
                    </a:xfrm>
                    <a:prstGeom prst="rect">
                      <a:avLst/>
                    </a:prstGeom>
                    <a:noFill/>
                    <a:ln>
                      <a:noFill/>
                    </a:ln>
                  </pic:spPr>
                </pic:pic>
              </a:graphicData>
            </a:graphic>
          </wp:inline>
        </w:drawing>
      </w:r>
    </w:p>
    <w:p w14:paraId="18902509" w14:textId="5A9C9DFF" w:rsidR="0056749F" w:rsidRPr="0056749F" w:rsidRDefault="0056749F">
      <w:pPr>
        <w:rPr>
          <w:b/>
          <w:bCs/>
          <w:lang w:val="en-US"/>
        </w:rPr>
      </w:pPr>
      <w:r w:rsidRPr="0056749F">
        <w:rPr>
          <w:b/>
          <w:bCs/>
          <w:lang w:val="en-US"/>
        </w:rPr>
        <w:t>And calculation of new Rural scenario TFP impacts, assuming “useful/productive” road increase equivalent to increase in RAI</w:t>
      </w:r>
    </w:p>
    <w:p w14:paraId="306A00C1" w14:textId="45662564" w:rsidR="00FB329C" w:rsidRDefault="0056749F">
      <w:pPr>
        <w:rPr>
          <w:lang w:val="en-US"/>
        </w:rPr>
      </w:pPr>
      <w:r w:rsidRPr="0056749F">
        <w:drawing>
          <wp:inline distT="0" distB="0" distL="0" distR="0" wp14:anchorId="675EFBE2" wp14:editId="0EB81297">
            <wp:extent cx="886333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3330" cy="2632710"/>
                    </a:xfrm>
                    <a:prstGeom prst="rect">
                      <a:avLst/>
                    </a:prstGeom>
                    <a:noFill/>
                    <a:ln>
                      <a:noFill/>
                    </a:ln>
                  </pic:spPr>
                </pic:pic>
              </a:graphicData>
            </a:graphic>
          </wp:inline>
        </w:drawing>
      </w:r>
    </w:p>
    <w:p w14:paraId="01926563" w14:textId="5B2E0500" w:rsidR="007F3C91" w:rsidRDefault="00DB535A">
      <w:pPr>
        <w:rPr>
          <w:lang w:val="en-US"/>
        </w:rPr>
      </w:pPr>
      <w:r w:rsidRPr="00DB535A">
        <w:rPr>
          <w:b/>
          <w:bCs/>
          <w:lang w:val="en-US"/>
        </w:rPr>
        <w:lastRenderedPageBreak/>
        <w:t>Funding</w:t>
      </w:r>
      <w:r w:rsidR="00A55A55">
        <w:rPr>
          <w:b/>
          <w:bCs/>
          <w:lang w:val="en-US"/>
        </w:rPr>
        <w:t xml:space="preserve"> - </w:t>
      </w:r>
      <w:r w:rsidR="007F3C91">
        <w:rPr>
          <w:lang w:val="en-US"/>
        </w:rPr>
        <w:t xml:space="preserve">The change in closing rule causes the model to have a slightly higher GDP than in the calibration reference which was used to fit the Socio-Economic baseline scenario, and which was used to calibrate non-gov institution saving ratios </w:t>
      </w:r>
      <w:proofErr w:type="gramStart"/>
      <w:r w:rsidR="007F3C91">
        <w:rPr>
          <w:lang w:val="en-US"/>
        </w:rPr>
        <w:t>a(</w:t>
      </w:r>
      <w:proofErr w:type="gramEnd"/>
      <w:r w:rsidR="007F3C91">
        <w:rPr>
          <w:lang w:val="en-US"/>
        </w:rPr>
        <w:t>about 1% by 2021, and about 2% by 2030)</w:t>
      </w:r>
    </w:p>
    <w:p w14:paraId="52DA1A49" w14:textId="1706A7F0" w:rsidR="00E45FB9" w:rsidRPr="00E45FB9" w:rsidRDefault="00E45FB9" w:rsidP="00A55A55">
      <w:pPr>
        <w:spacing w:after="0"/>
        <w:rPr>
          <w:i/>
          <w:iCs/>
          <w:lang w:val="en-US"/>
        </w:rPr>
      </w:pPr>
      <w:r>
        <w:rPr>
          <w:i/>
          <w:iCs/>
          <w:lang w:val="en-US"/>
        </w:rPr>
        <w:t>Urban - BAU</w:t>
      </w:r>
    </w:p>
    <w:p w14:paraId="7DD28EAC" w14:textId="3DCE199C" w:rsidR="00DB535A" w:rsidRDefault="007F3C91">
      <w:pPr>
        <w:rPr>
          <w:b/>
          <w:bCs/>
          <w:lang w:val="en-US"/>
        </w:rPr>
      </w:pPr>
      <w:r w:rsidRPr="007F3C91">
        <w:drawing>
          <wp:inline distT="0" distB="0" distL="0" distR="0" wp14:anchorId="168C2867" wp14:editId="0778BBED">
            <wp:extent cx="8863330" cy="142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1424305"/>
                    </a:xfrm>
                    <a:prstGeom prst="rect">
                      <a:avLst/>
                    </a:prstGeom>
                    <a:noFill/>
                    <a:ln>
                      <a:noFill/>
                    </a:ln>
                  </pic:spPr>
                </pic:pic>
              </a:graphicData>
            </a:graphic>
          </wp:inline>
        </w:drawing>
      </w:r>
    </w:p>
    <w:p w14:paraId="26B95D73" w14:textId="7411BB5C" w:rsidR="007F3C91" w:rsidRPr="00E45FB9" w:rsidRDefault="00E45FB9" w:rsidP="00A55A55">
      <w:pPr>
        <w:spacing w:after="0"/>
        <w:rPr>
          <w:i/>
          <w:iCs/>
          <w:lang w:val="en-US"/>
        </w:rPr>
      </w:pPr>
      <w:r w:rsidRPr="00E45FB9">
        <w:rPr>
          <w:i/>
          <w:iCs/>
          <w:lang w:val="en-US"/>
        </w:rPr>
        <w:t>Urban - IRT</w:t>
      </w:r>
    </w:p>
    <w:p w14:paraId="17586848" w14:textId="674DB34D" w:rsidR="007F3C91" w:rsidRDefault="00E45FB9">
      <w:pPr>
        <w:rPr>
          <w:b/>
          <w:bCs/>
          <w:lang w:val="en-US"/>
        </w:rPr>
      </w:pPr>
      <w:r w:rsidRPr="00E45FB9">
        <w:drawing>
          <wp:inline distT="0" distB="0" distL="0" distR="0" wp14:anchorId="161ADDB2" wp14:editId="143478AC">
            <wp:extent cx="886333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3330" cy="1510030"/>
                    </a:xfrm>
                    <a:prstGeom prst="rect">
                      <a:avLst/>
                    </a:prstGeom>
                    <a:noFill/>
                    <a:ln>
                      <a:noFill/>
                    </a:ln>
                  </pic:spPr>
                </pic:pic>
              </a:graphicData>
            </a:graphic>
          </wp:inline>
        </w:drawing>
      </w:r>
    </w:p>
    <w:p w14:paraId="599AC50C" w14:textId="63F29D71" w:rsidR="00E45FB9" w:rsidRDefault="00E45FB9" w:rsidP="00A55A55">
      <w:pPr>
        <w:spacing w:after="0"/>
        <w:rPr>
          <w:i/>
          <w:iCs/>
          <w:lang w:val="en-US"/>
        </w:rPr>
      </w:pPr>
      <w:r w:rsidRPr="00E45FB9">
        <w:rPr>
          <w:i/>
          <w:iCs/>
          <w:lang w:val="en-US"/>
        </w:rPr>
        <w:t>Urban ERT</w:t>
      </w:r>
    </w:p>
    <w:p w14:paraId="6D8EEC43" w14:textId="31E60FBD" w:rsidR="00E45FB9" w:rsidRDefault="005F6D5F">
      <w:pPr>
        <w:rPr>
          <w:i/>
          <w:iCs/>
          <w:lang w:val="en-US"/>
        </w:rPr>
      </w:pPr>
      <w:r w:rsidRPr="005F6D5F">
        <w:drawing>
          <wp:inline distT="0" distB="0" distL="0" distR="0" wp14:anchorId="4013F64E" wp14:editId="777F8046">
            <wp:extent cx="8863330" cy="1395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3330" cy="1395095"/>
                    </a:xfrm>
                    <a:prstGeom prst="rect">
                      <a:avLst/>
                    </a:prstGeom>
                    <a:noFill/>
                    <a:ln>
                      <a:noFill/>
                    </a:ln>
                  </pic:spPr>
                </pic:pic>
              </a:graphicData>
            </a:graphic>
          </wp:inline>
        </w:drawing>
      </w:r>
    </w:p>
    <w:p w14:paraId="61F68FD6" w14:textId="0916D5F5" w:rsidR="00E111C6" w:rsidRDefault="00E111C6">
      <w:pPr>
        <w:rPr>
          <w:i/>
          <w:iCs/>
          <w:lang w:val="en-US"/>
        </w:rPr>
      </w:pPr>
      <w:r>
        <w:rPr>
          <w:i/>
          <w:iCs/>
          <w:lang w:val="en-US"/>
        </w:rPr>
        <w:lastRenderedPageBreak/>
        <w:t>Rural UA (combined sparse &amp; dense areas)</w:t>
      </w:r>
    </w:p>
    <w:p w14:paraId="4C1ADE36" w14:textId="30CEFF46" w:rsidR="00E111C6" w:rsidRDefault="00E111C6">
      <w:pPr>
        <w:rPr>
          <w:i/>
          <w:iCs/>
          <w:lang w:val="en-US"/>
        </w:rPr>
      </w:pPr>
      <w:r w:rsidRPr="00E111C6">
        <w:drawing>
          <wp:inline distT="0" distB="0" distL="0" distR="0" wp14:anchorId="08D43DF6" wp14:editId="482E3C60">
            <wp:extent cx="8863330" cy="1164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3330" cy="1164590"/>
                    </a:xfrm>
                    <a:prstGeom prst="rect">
                      <a:avLst/>
                    </a:prstGeom>
                    <a:noFill/>
                    <a:ln>
                      <a:noFill/>
                    </a:ln>
                  </pic:spPr>
                </pic:pic>
              </a:graphicData>
            </a:graphic>
          </wp:inline>
        </w:drawing>
      </w:r>
    </w:p>
    <w:p w14:paraId="1023F673" w14:textId="5CB2FDAD" w:rsidR="00E111C6" w:rsidRDefault="00C43390">
      <w:pPr>
        <w:rPr>
          <w:i/>
          <w:iCs/>
          <w:lang w:val="en-US"/>
        </w:rPr>
      </w:pPr>
      <w:r>
        <w:rPr>
          <w:i/>
          <w:iCs/>
          <w:lang w:val="en-US"/>
        </w:rPr>
        <w:t>Rural CUG (only to 2030)</w:t>
      </w:r>
    </w:p>
    <w:p w14:paraId="59BAD034" w14:textId="3806C28D" w:rsidR="00C43390" w:rsidRDefault="00C43390">
      <w:pPr>
        <w:rPr>
          <w:i/>
          <w:iCs/>
          <w:lang w:val="en-US"/>
        </w:rPr>
      </w:pPr>
      <w:r w:rsidRPr="00C43390">
        <w:drawing>
          <wp:inline distT="0" distB="0" distL="0" distR="0" wp14:anchorId="1CDC0419" wp14:editId="2D552F5D">
            <wp:extent cx="8863330" cy="197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63330" cy="1974850"/>
                    </a:xfrm>
                    <a:prstGeom prst="rect">
                      <a:avLst/>
                    </a:prstGeom>
                    <a:noFill/>
                    <a:ln>
                      <a:noFill/>
                    </a:ln>
                  </pic:spPr>
                </pic:pic>
              </a:graphicData>
            </a:graphic>
          </wp:inline>
        </w:drawing>
      </w:r>
    </w:p>
    <w:p w14:paraId="766264CD" w14:textId="0210E8C9" w:rsidR="00C43390" w:rsidRDefault="00C43390">
      <w:pPr>
        <w:rPr>
          <w:i/>
          <w:iCs/>
          <w:lang w:val="en-US"/>
        </w:rPr>
      </w:pPr>
    </w:p>
    <w:p w14:paraId="5DBF2B94" w14:textId="50B273FE" w:rsidR="002E0BFC" w:rsidRDefault="002E0BFC">
      <w:pPr>
        <w:rPr>
          <w:i/>
          <w:iCs/>
          <w:lang w:val="en-US"/>
        </w:rPr>
      </w:pPr>
      <w:r>
        <w:rPr>
          <w:i/>
          <w:iCs/>
          <w:lang w:val="en-US"/>
        </w:rPr>
        <w:br w:type="page"/>
      </w:r>
    </w:p>
    <w:p w14:paraId="51D9B242" w14:textId="0DF95C0C" w:rsidR="002E0BFC" w:rsidRDefault="002E0BFC">
      <w:pPr>
        <w:rPr>
          <w:i/>
          <w:iCs/>
          <w:lang w:val="en-US"/>
        </w:rPr>
      </w:pPr>
      <w:r>
        <w:rPr>
          <w:i/>
          <w:iCs/>
          <w:lang w:val="en-US"/>
        </w:rPr>
        <w:lastRenderedPageBreak/>
        <w:t xml:space="preserve">More detailed results: C_YIX equates to total income of domestic institutions; GOVSHRX and INVSHRX are government expenditure and investment shares of total absorption; </w:t>
      </w:r>
      <w:r w:rsidR="008B70DA">
        <w:rPr>
          <w:i/>
          <w:iCs/>
          <w:lang w:val="en-US"/>
        </w:rPr>
        <w:t xml:space="preserve">TINSX (here only for non-energy enterprises and the richest </w:t>
      </w:r>
      <w:proofErr w:type="spellStart"/>
      <w:r w:rsidR="008B70DA">
        <w:rPr>
          <w:i/>
          <w:iCs/>
          <w:lang w:val="en-US"/>
        </w:rPr>
        <w:t>hhd</w:t>
      </w:r>
      <w:proofErr w:type="spellEnd"/>
      <w:r w:rsidR="008B70DA">
        <w:rPr>
          <w:i/>
          <w:iCs/>
          <w:lang w:val="en-US"/>
        </w:rPr>
        <w:t xml:space="preserve"> class (9, when the poorest is nr 0). GADJX is index for exogenous government expenditure trajectory, IADJX is exogenous trajectory for total investment, and GSAVX is government net contribution to savings for investment (reference = -12 billion Rand)</w:t>
      </w:r>
    </w:p>
    <w:p w14:paraId="6918B2FC" w14:textId="1F0304BE" w:rsidR="00C43390" w:rsidRPr="00E45FB9" w:rsidRDefault="002E0BFC">
      <w:pPr>
        <w:rPr>
          <w:i/>
          <w:iCs/>
          <w:lang w:val="en-US"/>
        </w:rPr>
      </w:pPr>
      <w:r w:rsidRPr="002E0BFC">
        <w:drawing>
          <wp:inline distT="0" distB="0" distL="0" distR="0" wp14:anchorId="6358D892" wp14:editId="1A753F1D">
            <wp:extent cx="9353642" cy="425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56559" cy="4253286"/>
                    </a:xfrm>
                    <a:prstGeom prst="rect">
                      <a:avLst/>
                    </a:prstGeom>
                    <a:noFill/>
                    <a:ln>
                      <a:noFill/>
                    </a:ln>
                  </pic:spPr>
                </pic:pic>
              </a:graphicData>
            </a:graphic>
          </wp:inline>
        </w:drawing>
      </w:r>
    </w:p>
    <w:sectPr w:rsidR="00C43390" w:rsidRPr="00E45FB9" w:rsidSect="00FB329C">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es Schers" w:date="2022-11-15T02:10:00Z" w:initials="JS">
    <w:p w14:paraId="6F3251CD" w14:textId="77777777" w:rsidR="005516B3" w:rsidRDefault="005516B3" w:rsidP="000F01B5">
      <w:pPr>
        <w:pStyle w:val="CommentText"/>
      </w:pPr>
      <w:r>
        <w:rPr>
          <w:rStyle w:val="CommentReference"/>
        </w:rPr>
        <w:annotationRef/>
      </w:r>
      <w:r>
        <w:t>Questions:</w:t>
      </w:r>
      <w:r>
        <w:br/>
        <w:t>- Could it be that Rural access costs are relatively low compared to Urban Access costs? E.g. maintenance as pct of GDP?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251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D73A1" w16cex:dateUtc="2022-11-15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251CD" w16cid:durableId="271D7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2596E" w14:textId="77777777" w:rsidR="00042052" w:rsidRDefault="00042052" w:rsidP="008B70DA">
      <w:pPr>
        <w:spacing w:after="0" w:line="240" w:lineRule="auto"/>
      </w:pPr>
      <w:r>
        <w:separator/>
      </w:r>
    </w:p>
  </w:endnote>
  <w:endnote w:type="continuationSeparator" w:id="0">
    <w:p w14:paraId="287624A9" w14:textId="77777777" w:rsidR="00042052" w:rsidRDefault="00042052" w:rsidP="008B7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96D5" w14:textId="77777777" w:rsidR="00042052" w:rsidRDefault="00042052" w:rsidP="008B70DA">
      <w:pPr>
        <w:spacing w:after="0" w:line="240" w:lineRule="auto"/>
      </w:pPr>
      <w:r>
        <w:separator/>
      </w:r>
    </w:p>
  </w:footnote>
  <w:footnote w:type="continuationSeparator" w:id="0">
    <w:p w14:paraId="4E5AC2DF" w14:textId="77777777" w:rsidR="00042052" w:rsidRDefault="00042052" w:rsidP="008B70DA">
      <w:pPr>
        <w:spacing w:after="0" w:line="240" w:lineRule="auto"/>
      </w:pPr>
      <w:r>
        <w:continuationSeparator/>
      </w:r>
    </w:p>
  </w:footnote>
  <w:footnote w:id="1">
    <w:p w14:paraId="464B223D" w14:textId="27CFAF2B" w:rsidR="008B70DA" w:rsidRPr="008B70DA" w:rsidRDefault="008B70DA" w:rsidP="008B70DA">
      <w:pPr>
        <w:rPr>
          <w:b/>
          <w:bCs/>
          <w:lang w:val="en-US"/>
        </w:rPr>
      </w:pPr>
      <w:r>
        <w:rPr>
          <w:rStyle w:val="FootnoteReference"/>
        </w:rPr>
        <w:footnoteRef/>
      </w:r>
      <w:r>
        <w:t xml:space="preserve"> </w:t>
      </w:r>
      <w:r w:rsidRPr="008B70DA">
        <w:rPr>
          <w:sz w:val="18"/>
          <w:szCs w:val="18"/>
          <w:lang w:val="en-US"/>
        </w:rPr>
        <w:t>For your information:</w:t>
      </w:r>
      <w:r w:rsidRPr="008B70DA">
        <w:rPr>
          <w:sz w:val="18"/>
          <w:szCs w:val="18"/>
          <w:lang w:val="en-US"/>
        </w:rPr>
        <w:t xml:space="preserve"> </w:t>
      </w:r>
      <w:r w:rsidRPr="008B70DA">
        <w:rPr>
          <w:sz w:val="18"/>
          <w:szCs w:val="18"/>
          <w:lang w:val="en-US"/>
        </w:rPr>
        <w:br/>
      </w:r>
      <w:r w:rsidRPr="008B70DA">
        <w:rPr>
          <w:sz w:val="18"/>
          <w:szCs w:val="18"/>
          <w:lang w:val="en-US"/>
        </w:rPr>
        <w:t>Rural UA has no increased maintenance for gravel post in the (late) 2020’ies… as these years are considered out-of-scope for the report.</w:t>
      </w:r>
      <w:r w:rsidRPr="008B70DA">
        <w:rPr>
          <w:sz w:val="18"/>
          <w:szCs w:val="18"/>
          <w:lang w:val="en-US"/>
        </w:rPr>
        <w:br/>
      </w:r>
      <w:r w:rsidRPr="008B70DA">
        <w:rPr>
          <w:sz w:val="18"/>
          <w:szCs w:val="18"/>
          <w:lang w:val="en-US"/>
        </w:rPr>
        <w:t>Investment post 2030 has not been considered for CUG, while government expenditure takes again its reference growth (+2,37%/year) path from the higher level obtained in 2030.)</w:t>
      </w:r>
      <w:r w:rsidRPr="008B70DA">
        <w:rPr>
          <w:sz w:val="18"/>
          <w:szCs w:val="18"/>
          <w:lang w:val="en-US"/>
        </w:rPr>
        <w:br/>
      </w:r>
      <w:r w:rsidRPr="008B70DA">
        <w:rPr>
          <w:sz w:val="18"/>
          <w:szCs w:val="18"/>
          <w:lang w:val="en-US"/>
        </w:rPr>
        <w:t>The Rural CUS, CRG and CRS scenarios still need to be run, but their parameterization is very similar to the CUG scenario. The combination scenarios also still need to be run, but probably show an addition of separate scenario impacts</w:t>
      </w:r>
      <w:r w:rsidRPr="008B70DA">
        <w:rPr>
          <w:sz w:val="18"/>
          <w:szCs w:val="18"/>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87F52"/>
    <w:multiLevelType w:val="hybridMultilevel"/>
    <w:tmpl w:val="B1A6E354"/>
    <w:lvl w:ilvl="0" w:tplc="6E6494A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C985E6A"/>
    <w:multiLevelType w:val="hybridMultilevel"/>
    <w:tmpl w:val="3A649384"/>
    <w:lvl w:ilvl="0" w:tplc="4EBE57D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01096280">
    <w:abstractNumId w:val="1"/>
  </w:num>
  <w:num w:numId="2" w16cid:durableId="18017246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es Schers">
    <w15:presenceInfo w15:providerId="AD" w15:userId="S::Jules.Schers@JulesConsult.onmicrosoft.com::a0013669-8340-4135-be78-817587e41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119"/>
    <w:rsid w:val="00042052"/>
    <w:rsid w:val="000C61AF"/>
    <w:rsid w:val="000F01AF"/>
    <w:rsid w:val="001E3937"/>
    <w:rsid w:val="002C5AB9"/>
    <w:rsid w:val="002E0BFC"/>
    <w:rsid w:val="002F3695"/>
    <w:rsid w:val="003047B5"/>
    <w:rsid w:val="004540D9"/>
    <w:rsid w:val="004C4A62"/>
    <w:rsid w:val="005516B3"/>
    <w:rsid w:val="0056749F"/>
    <w:rsid w:val="005C7BE7"/>
    <w:rsid w:val="005D2870"/>
    <w:rsid w:val="005F6D5F"/>
    <w:rsid w:val="006C5119"/>
    <w:rsid w:val="007F3C91"/>
    <w:rsid w:val="008B70DA"/>
    <w:rsid w:val="00944593"/>
    <w:rsid w:val="00A55A55"/>
    <w:rsid w:val="00AA4CA9"/>
    <w:rsid w:val="00C43390"/>
    <w:rsid w:val="00DB535A"/>
    <w:rsid w:val="00E111C6"/>
    <w:rsid w:val="00E45FB9"/>
    <w:rsid w:val="00F40724"/>
    <w:rsid w:val="00FB32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B56E"/>
  <w15:chartTrackingRefBased/>
  <w15:docId w15:val="{B33C13E0-66A4-4A36-9AE6-F8FAB603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724"/>
    <w:pPr>
      <w:ind w:left="720"/>
      <w:contextualSpacing/>
    </w:pPr>
  </w:style>
  <w:style w:type="paragraph" w:styleId="FootnoteText">
    <w:name w:val="footnote text"/>
    <w:basedOn w:val="Normal"/>
    <w:link w:val="FootnoteTextChar"/>
    <w:uiPriority w:val="99"/>
    <w:semiHidden/>
    <w:unhideWhenUsed/>
    <w:rsid w:val="008B7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70DA"/>
    <w:rPr>
      <w:sz w:val="20"/>
      <w:szCs w:val="20"/>
    </w:rPr>
  </w:style>
  <w:style w:type="character" w:styleId="FootnoteReference">
    <w:name w:val="footnote reference"/>
    <w:basedOn w:val="DefaultParagraphFont"/>
    <w:uiPriority w:val="99"/>
    <w:semiHidden/>
    <w:unhideWhenUsed/>
    <w:rsid w:val="008B70DA"/>
    <w:rPr>
      <w:vertAlign w:val="superscript"/>
    </w:rPr>
  </w:style>
  <w:style w:type="character" w:styleId="CommentReference">
    <w:name w:val="annotation reference"/>
    <w:basedOn w:val="DefaultParagraphFont"/>
    <w:uiPriority w:val="99"/>
    <w:semiHidden/>
    <w:unhideWhenUsed/>
    <w:rsid w:val="005516B3"/>
    <w:rPr>
      <w:sz w:val="16"/>
      <w:szCs w:val="16"/>
    </w:rPr>
  </w:style>
  <w:style w:type="paragraph" w:styleId="CommentText">
    <w:name w:val="annotation text"/>
    <w:basedOn w:val="Normal"/>
    <w:link w:val="CommentTextChar"/>
    <w:uiPriority w:val="99"/>
    <w:unhideWhenUsed/>
    <w:rsid w:val="005516B3"/>
    <w:pPr>
      <w:spacing w:line="240" w:lineRule="auto"/>
    </w:pPr>
    <w:rPr>
      <w:sz w:val="20"/>
      <w:szCs w:val="20"/>
    </w:rPr>
  </w:style>
  <w:style w:type="character" w:customStyle="1" w:styleId="CommentTextChar">
    <w:name w:val="Comment Text Char"/>
    <w:basedOn w:val="DefaultParagraphFont"/>
    <w:link w:val="CommentText"/>
    <w:uiPriority w:val="99"/>
    <w:rsid w:val="005516B3"/>
    <w:rPr>
      <w:sz w:val="20"/>
      <w:szCs w:val="20"/>
    </w:rPr>
  </w:style>
  <w:style w:type="paragraph" w:styleId="CommentSubject">
    <w:name w:val="annotation subject"/>
    <w:basedOn w:val="CommentText"/>
    <w:next w:val="CommentText"/>
    <w:link w:val="CommentSubjectChar"/>
    <w:uiPriority w:val="99"/>
    <w:semiHidden/>
    <w:unhideWhenUsed/>
    <w:rsid w:val="005516B3"/>
    <w:rPr>
      <w:b/>
      <w:bCs/>
    </w:rPr>
  </w:style>
  <w:style w:type="character" w:customStyle="1" w:styleId="CommentSubjectChar">
    <w:name w:val="Comment Subject Char"/>
    <w:basedOn w:val="CommentTextChar"/>
    <w:link w:val="CommentSubject"/>
    <w:uiPriority w:val="99"/>
    <w:semiHidden/>
    <w:rsid w:val="005516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9">
      <w:bodyDiv w:val="1"/>
      <w:marLeft w:val="0"/>
      <w:marRight w:val="0"/>
      <w:marTop w:val="0"/>
      <w:marBottom w:val="0"/>
      <w:divBdr>
        <w:top w:val="none" w:sz="0" w:space="0" w:color="auto"/>
        <w:left w:val="none" w:sz="0" w:space="0" w:color="auto"/>
        <w:bottom w:val="none" w:sz="0" w:space="0" w:color="auto"/>
        <w:right w:val="none" w:sz="0" w:space="0" w:color="auto"/>
      </w:divBdr>
    </w:div>
    <w:div w:id="1056123176">
      <w:bodyDiv w:val="1"/>
      <w:marLeft w:val="0"/>
      <w:marRight w:val="0"/>
      <w:marTop w:val="0"/>
      <w:marBottom w:val="0"/>
      <w:divBdr>
        <w:top w:val="none" w:sz="0" w:space="0" w:color="auto"/>
        <w:left w:val="none" w:sz="0" w:space="0" w:color="auto"/>
        <w:bottom w:val="none" w:sz="0" w:space="0" w:color="auto"/>
        <w:right w:val="none" w:sz="0" w:space="0" w:color="auto"/>
      </w:divBdr>
    </w:div>
    <w:div w:id="198863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Models\SATIMGE\WB-infrastructure\Results%202022_1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Gross Income / proxy</a:t>
            </a:r>
            <a:r>
              <a:rPr lang="en-ZA" baseline="0"/>
              <a:t> for GDP</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Results!$C$562</c:f>
              <c:strCache>
                <c:ptCount val="1"/>
                <c:pt idx="0">
                  <c:v>SDGbaseTra_UrbAS_BAU</c:v>
                </c:pt>
              </c:strCache>
            </c:strRef>
          </c:tx>
          <c:spPr>
            <a:ln w="28575" cap="rnd">
              <a:solidFill>
                <a:schemeClr val="accent1"/>
              </a:solidFill>
              <a:round/>
            </a:ln>
            <a:effectLst/>
          </c:spPr>
          <c:marker>
            <c:symbol val="none"/>
          </c:marker>
          <c:cat>
            <c:numRef>
              <c:f>Results!$F$13:$AK$13</c:f>
              <c:numCache>
                <c:formatCode>General</c:formatCode>
                <c:ptCount val="32"/>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numCache>
            </c:numRef>
          </c:cat>
          <c:val>
            <c:numRef>
              <c:f>Results!$F$562:$AA$562</c:f>
              <c:numCache>
                <c:formatCode>#,##0</c:formatCode>
                <c:ptCount val="22"/>
                <c:pt idx="0">
                  <c:v>5873.17</c:v>
                </c:pt>
                <c:pt idx="1">
                  <c:v>5575.49</c:v>
                </c:pt>
                <c:pt idx="2">
                  <c:v>5743.93</c:v>
                </c:pt>
                <c:pt idx="3">
                  <c:v>5866.33</c:v>
                </c:pt>
                <c:pt idx="4">
                  <c:v>5936.99</c:v>
                </c:pt>
                <c:pt idx="5">
                  <c:v>6047.25</c:v>
                </c:pt>
                <c:pt idx="6">
                  <c:v>6172.56</c:v>
                </c:pt>
                <c:pt idx="7">
                  <c:v>6301.02</c:v>
                </c:pt>
                <c:pt idx="8">
                  <c:v>6443.15</c:v>
                </c:pt>
                <c:pt idx="9">
                  <c:v>6602.92</c:v>
                </c:pt>
                <c:pt idx="10">
                  <c:v>6778.1</c:v>
                </c:pt>
                <c:pt idx="11">
                  <c:v>6950.62</c:v>
                </c:pt>
                <c:pt idx="12">
                  <c:v>7177.86</c:v>
                </c:pt>
                <c:pt idx="13">
                  <c:v>7407.7</c:v>
                </c:pt>
                <c:pt idx="14">
                  <c:v>7649.65</c:v>
                </c:pt>
                <c:pt idx="15">
                  <c:v>7926.38</c:v>
                </c:pt>
                <c:pt idx="16">
                  <c:v>8197.64</c:v>
                </c:pt>
                <c:pt idx="17">
                  <c:v>8477.24</c:v>
                </c:pt>
                <c:pt idx="18">
                  <c:v>8767.83</c:v>
                </c:pt>
                <c:pt idx="19">
                  <c:v>9042.5499999999993</c:v>
                </c:pt>
                <c:pt idx="20">
                  <c:v>9334.58</c:v>
                </c:pt>
                <c:pt idx="21">
                  <c:v>9617.93</c:v>
                </c:pt>
              </c:numCache>
            </c:numRef>
          </c:val>
          <c:smooth val="0"/>
          <c:extLst>
            <c:ext xmlns:c16="http://schemas.microsoft.com/office/drawing/2014/chart" uri="{C3380CC4-5D6E-409C-BE32-E72D297353CC}">
              <c16:uniqueId val="{00000000-38A8-4F41-8644-FFD093BB3624}"/>
            </c:ext>
          </c:extLst>
        </c:ser>
        <c:ser>
          <c:idx val="1"/>
          <c:order val="1"/>
          <c:tx>
            <c:strRef>
              <c:f>Results!$C$1024</c:f>
              <c:strCache>
                <c:ptCount val="1"/>
                <c:pt idx="0">
                  <c:v>SDGbaseTra_UrbAS_IRT</c:v>
                </c:pt>
              </c:strCache>
            </c:strRef>
          </c:tx>
          <c:spPr>
            <a:ln w="28575" cap="rnd">
              <a:solidFill>
                <a:schemeClr val="accent2"/>
              </a:solidFill>
              <a:round/>
            </a:ln>
            <a:effectLst/>
          </c:spPr>
          <c:marker>
            <c:symbol val="none"/>
          </c:marker>
          <c:val>
            <c:numRef>
              <c:f>Results!$F$1024:$AA$1024</c:f>
              <c:numCache>
                <c:formatCode>#,##0</c:formatCode>
                <c:ptCount val="22"/>
                <c:pt idx="0">
                  <c:v>5873.17</c:v>
                </c:pt>
                <c:pt idx="1">
                  <c:v>5575.49</c:v>
                </c:pt>
                <c:pt idx="2">
                  <c:v>5743.93</c:v>
                </c:pt>
                <c:pt idx="3">
                  <c:v>5871.66</c:v>
                </c:pt>
                <c:pt idx="4">
                  <c:v>5956.96</c:v>
                </c:pt>
                <c:pt idx="5">
                  <c:v>6083.27</c:v>
                </c:pt>
                <c:pt idx="6">
                  <c:v>6226.03</c:v>
                </c:pt>
                <c:pt idx="7">
                  <c:v>6372.98</c:v>
                </c:pt>
                <c:pt idx="8">
                  <c:v>6534.9</c:v>
                </c:pt>
                <c:pt idx="9">
                  <c:v>6715.3</c:v>
                </c:pt>
                <c:pt idx="10">
                  <c:v>6913.62</c:v>
                </c:pt>
                <c:pt idx="11">
                  <c:v>7110.23</c:v>
                </c:pt>
                <c:pt idx="12">
                  <c:v>7354.88</c:v>
                </c:pt>
                <c:pt idx="13">
                  <c:v>7594.65</c:v>
                </c:pt>
                <c:pt idx="14">
                  <c:v>7844.92</c:v>
                </c:pt>
                <c:pt idx="15">
                  <c:v>8130.19</c:v>
                </c:pt>
                <c:pt idx="16">
                  <c:v>8409.2800000000007</c:v>
                </c:pt>
                <c:pt idx="17">
                  <c:v>8697.23</c:v>
                </c:pt>
                <c:pt idx="18">
                  <c:v>8995.02</c:v>
                </c:pt>
                <c:pt idx="19">
                  <c:v>9276.84</c:v>
                </c:pt>
                <c:pt idx="20">
                  <c:v>9575.6200000000008</c:v>
                </c:pt>
                <c:pt idx="21">
                  <c:v>9865.16</c:v>
                </c:pt>
              </c:numCache>
            </c:numRef>
          </c:val>
          <c:smooth val="0"/>
          <c:extLst>
            <c:ext xmlns:c16="http://schemas.microsoft.com/office/drawing/2014/chart" uri="{C3380CC4-5D6E-409C-BE32-E72D297353CC}">
              <c16:uniqueId val="{00000001-38A8-4F41-8644-FFD093BB3624}"/>
            </c:ext>
          </c:extLst>
        </c:ser>
        <c:ser>
          <c:idx val="2"/>
          <c:order val="2"/>
          <c:tx>
            <c:strRef>
              <c:f>Results!$C$1486</c:f>
              <c:strCache>
                <c:ptCount val="1"/>
                <c:pt idx="0">
                  <c:v>SDGbaseTra_UrbAS_ERT</c:v>
                </c:pt>
              </c:strCache>
            </c:strRef>
          </c:tx>
          <c:spPr>
            <a:ln w="28575" cap="rnd">
              <a:solidFill>
                <a:schemeClr val="accent3"/>
              </a:solidFill>
              <a:round/>
            </a:ln>
            <a:effectLst/>
          </c:spPr>
          <c:marker>
            <c:symbol val="none"/>
          </c:marker>
          <c:val>
            <c:numRef>
              <c:f>Results!$F$1486:$AA$1486</c:f>
              <c:numCache>
                <c:formatCode>#,##0</c:formatCode>
                <c:ptCount val="22"/>
                <c:pt idx="0">
                  <c:v>5873.17</c:v>
                </c:pt>
                <c:pt idx="1">
                  <c:v>5575.43</c:v>
                </c:pt>
                <c:pt idx="2">
                  <c:v>5743.52</c:v>
                </c:pt>
                <c:pt idx="3">
                  <c:v>5867.02</c:v>
                </c:pt>
                <c:pt idx="4">
                  <c:v>5941.17</c:v>
                </c:pt>
                <c:pt idx="5">
                  <c:v>6059.25</c:v>
                </c:pt>
                <c:pt idx="6">
                  <c:v>6197.59</c:v>
                </c:pt>
                <c:pt idx="7">
                  <c:v>6339.95</c:v>
                </c:pt>
                <c:pt idx="8">
                  <c:v>6496.28</c:v>
                </c:pt>
                <c:pt idx="9">
                  <c:v>6669.53</c:v>
                </c:pt>
                <c:pt idx="10">
                  <c:v>6860.75</c:v>
                </c:pt>
                <c:pt idx="11">
                  <c:v>7047.92</c:v>
                </c:pt>
                <c:pt idx="12">
                  <c:v>7278.3</c:v>
                </c:pt>
                <c:pt idx="13">
                  <c:v>7508.54</c:v>
                </c:pt>
                <c:pt idx="14">
                  <c:v>7751.96</c:v>
                </c:pt>
                <c:pt idx="15">
                  <c:v>8032.32</c:v>
                </c:pt>
                <c:pt idx="16">
                  <c:v>8305.8700000000008</c:v>
                </c:pt>
                <c:pt idx="17">
                  <c:v>8588.99</c:v>
                </c:pt>
                <c:pt idx="18">
                  <c:v>8884.92</c:v>
                </c:pt>
                <c:pt idx="19">
                  <c:v>9162.94</c:v>
                </c:pt>
                <c:pt idx="20">
                  <c:v>9400.09</c:v>
                </c:pt>
                <c:pt idx="21">
                  <c:v>9589.8700000000008</c:v>
                </c:pt>
              </c:numCache>
            </c:numRef>
          </c:val>
          <c:smooth val="0"/>
          <c:extLst>
            <c:ext xmlns:c16="http://schemas.microsoft.com/office/drawing/2014/chart" uri="{C3380CC4-5D6E-409C-BE32-E72D297353CC}">
              <c16:uniqueId val="{00000002-38A8-4F41-8644-FFD093BB3624}"/>
            </c:ext>
          </c:extLst>
        </c:ser>
        <c:ser>
          <c:idx val="3"/>
          <c:order val="3"/>
          <c:tx>
            <c:strRef>
              <c:f>Results!$C$1948</c:f>
              <c:strCache>
                <c:ptCount val="1"/>
                <c:pt idx="0">
                  <c:v>SDGbaseTra_RurAS_Uacombi</c:v>
                </c:pt>
              </c:strCache>
            </c:strRef>
          </c:tx>
          <c:spPr>
            <a:ln w="28575" cap="rnd">
              <a:solidFill>
                <a:schemeClr val="accent4"/>
              </a:solidFill>
              <a:round/>
            </a:ln>
            <a:effectLst/>
          </c:spPr>
          <c:marker>
            <c:symbol val="none"/>
          </c:marker>
          <c:val>
            <c:numRef>
              <c:f>Results!$F$1948:$AA$1948</c:f>
              <c:numCache>
                <c:formatCode>#,##0</c:formatCode>
                <c:ptCount val="22"/>
                <c:pt idx="0">
                  <c:v>5873.17</c:v>
                </c:pt>
                <c:pt idx="1">
                  <c:v>5575.57</c:v>
                </c:pt>
                <c:pt idx="2">
                  <c:v>5744.5</c:v>
                </c:pt>
                <c:pt idx="3">
                  <c:v>5842.79</c:v>
                </c:pt>
                <c:pt idx="4">
                  <c:v>5923.03</c:v>
                </c:pt>
                <c:pt idx="5">
                  <c:v>6040.44</c:v>
                </c:pt>
                <c:pt idx="6">
                  <c:v>6180.76</c:v>
                </c:pt>
                <c:pt idx="7">
                  <c:v>6330.98</c:v>
                </c:pt>
                <c:pt idx="8">
                  <c:v>6501.66</c:v>
                </c:pt>
                <c:pt idx="9">
                  <c:v>6699.04</c:v>
                </c:pt>
                <c:pt idx="10">
                  <c:v>6917.34</c:v>
                </c:pt>
                <c:pt idx="11">
                  <c:v>7139.46</c:v>
                </c:pt>
                <c:pt idx="12">
                  <c:v>7453.32</c:v>
                </c:pt>
                <c:pt idx="13">
                  <c:v>7753.81</c:v>
                </c:pt>
                <c:pt idx="14">
                  <c:v>8066.02</c:v>
                </c:pt>
                <c:pt idx="15">
                  <c:v>8420.91</c:v>
                </c:pt>
                <c:pt idx="16">
                  <c:v>8772.5400000000009</c:v>
                </c:pt>
                <c:pt idx="17">
                  <c:v>9139.4699999999993</c:v>
                </c:pt>
                <c:pt idx="18">
                  <c:v>9525.7099999999991</c:v>
                </c:pt>
                <c:pt idx="19">
                  <c:v>9896.83</c:v>
                </c:pt>
                <c:pt idx="20">
                  <c:v>10297.790000000001</c:v>
                </c:pt>
                <c:pt idx="21">
                  <c:v>10696.01</c:v>
                </c:pt>
              </c:numCache>
            </c:numRef>
          </c:val>
          <c:smooth val="0"/>
          <c:extLst>
            <c:ext xmlns:c16="http://schemas.microsoft.com/office/drawing/2014/chart" uri="{C3380CC4-5D6E-409C-BE32-E72D297353CC}">
              <c16:uniqueId val="{00000003-38A8-4F41-8644-FFD093BB3624}"/>
            </c:ext>
          </c:extLst>
        </c:ser>
        <c:ser>
          <c:idx val="4"/>
          <c:order val="4"/>
          <c:tx>
            <c:strRef>
              <c:f>Results!$C$2410</c:f>
              <c:strCache>
                <c:ptCount val="1"/>
                <c:pt idx="0">
                  <c:v>SDGbaseTra_RurAS_CUG</c:v>
                </c:pt>
              </c:strCache>
            </c:strRef>
          </c:tx>
          <c:spPr>
            <a:ln w="28575" cap="rnd">
              <a:solidFill>
                <a:schemeClr val="accent5"/>
              </a:solidFill>
              <a:round/>
            </a:ln>
            <a:effectLst/>
          </c:spPr>
          <c:marker>
            <c:symbol val="none"/>
          </c:marker>
          <c:val>
            <c:numRef>
              <c:f>Results!$F$2410:$AA$2410</c:f>
              <c:numCache>
                <c:formatCode>#,##0</c:formatCode>
                <c:ptCount val="22"/>
                <c:pt idx="0">
                  <c:v>5873.17</c:v>
                </c:pt>
                <c:pt idx="1">
                  <c:v>5575.95</c:v>
                </c:pt>
                <c:pt idx="2">
                  <c:v>5746.26</c:v>
                </c:pt>
                <c:pt idx="3">
                  <c:v>5774.41</c:v>
                </c:pt>
                <c:pt idx="4">
                  <c:v>5798.02</c:v>
                </c:pt>
                <c:pt idx="5">
                  <c:v>5839.05</c:v>
                </c:pt>
                <c:pt idx="6">
                  <c:v>5896.82</c:v>
                </c:pt>
                <c:pt idx="7">
                  <c:v>5958.96</c:v>
                </c:pt>
                <c:pt idx="8">
                  <c:v>6036.09</c:v>
                </c:pt>
                <c:pt idx="9">
                  <c:v>6135.07</c:v>
                </c:pt>
                <c:pt idx="10">
                  <c:v>6246.03</c:v>
                </c:pt>
                <c:pt idx="11">
                  <c:v>6354.06</c:v>
                </c:pt>
                <c:pt idx="12">
                  <c:v>6616.46</c:v>
                </c:pt>
                <c:pt idx="13">
                  <c:v>6868.08</c:v>
                </c:pt>
                <c:pt idx="14">
                  <c:v>7134.51</c:v>
                </c:pt>
                <c:pt idx="15">
                  <c:v>7439.5</c:v>
                </c:pt>
                <c:pt idx="16">
                  <c:v>7742.8</c:v>
                </c:pt>
                <c:pt idx="17">
                  <c:v>8057.79</c:v>
                </c:pt>
                <c:pt idx="18">
                  <c:v>8385.17</c:v>
                </c:pt>
                <c:pt idx="19">
                  <c:v>8696.8700000000008</c:v>
                </c:pt>
                <c:pt idx="20">
                  <c:v>9027.34</c:v>
                </c:pt>
                <c:pt idx="21">
                  <c:v>9350.16</c:v>
                </c:pt>
              </c:numCache>
            </c:numRef>
          </c:val>
          <c:smooth val="0"/>
          <c:extLst>
            <c:ext xmlns:c16="http://schemas.microsoft.com/office/drawing/2014/chart" uri="{C3380CC4-5D6E-409C-BE32-E72D297353CC}">
              <c16:uniqueId val="{00000004-38A8-4F41-8644-FFD093BB3624}"/>
            </c:ext>
          </c:extLst>
        </c:ser>
        <c:dLbls>
          <c:showLegendKey val="0"/>
          <c:showVal val="0"/>
          <c:showCatName val="0"/>
          <c:showSerName val="0"/>
          <c:showPercent val="0"/>
          <c:showBubbleSize val="0"/>
        </c:dLbls>
        <c:smooth val="0"/>
        <c:axId val="29884335"/>
        <c:axId val="29884751"/>
      </c:lineChart>
      <c:catAx>
        <c:axId val="29884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84751"/>
        <c:crosses val="autoZero"/>
        <c:auto val="1"/>
        <c:lblAlgn val="ctr"/>
        <c:lblOffset val="100"/>
        <c:noMultiLvlLbl val="0"/>
      </c:catAx>
      <c:valAx>
        <c:axId val="29884751"/>
        <c:scaling>
          <c:orientation val="minMax"/>
          <c:max val="11000"/>
          <c:min val="5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8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58C7-B283-407F-9993-DF756280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Schers</dc:creator>
  <cp:keywords/>
  <dc:description/>
  <cp:lastModifiedBy>Jules Schers</cp:lastModifiedBy>
  <cp:revision>24</cp:revision>
  <dcterms:created xsi:type="dcterms:W3CDTF">2022-11-15T00:21:00Z</dcterms:created>
  <dcterms:modified xsi:type="dcterms:W3CDTF">2022-11-15T01:10:00Z</dcterms:modified>
</cp:coreProperties>
</file>