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tcBorders>
              <w:top w:val="single" w:color="862633" w:sz="2"/>
              <w:left w:val="single" w:color="862633" w:sz="2"/>
              <w:bottom w:val="single" w:color="B58A2E" w:sz="24"/>
              <w:right w:val="single" w:color="862633" w:sz="2"/>
            </w:tcBorders>
            <w:shd w:fill="862633" w:color="auto" w:val="clear"/>
            <w:tcMar>
              <w:top w:type="dxa" w:w="200"/>
              <w:left w:type="dxa" w:w="260"/>
              <w:bottom w:type="dxa" w:w="200"/>
              <w:right w:type="dxa" w:w="260"/>
            </w:tcMar>
          </w:tcPr>
          <w:p>
            <w:pPr>
              <w:spacing w:after="30" w:line="240"/>
            </w:pPr>
            <w:r>
              <w:rPr>
                <w:b/>
                <w:bCs/>
                <w:color w:val="FFFFFF"/>
                <w:spacing w:val="60"/>
                <w:sz w:val="30"/>
                <w:szCs w:val="30"/>
              </w:rPr>
              <w:t xml:space="preserve">SANTA CLARA UNIVERSITY</w:t>
            </w:r>
          </w:p>
          <w:p>
            <w:pPr>
              <w:spacing w:after="0" w:line="240"/>
            </w:pPr>
            <w:r>
              <w:rPr>
                <w:i/>
                <w:iCs/>
                <w:color w:val="F2E4C9"/>
                <w:sz w:val="21"/>
                <w:szCs w:val="21"/>
              </w:rPr>
              <w:t xml:space="preserve">Leavey School of Business</w:t>
            </w:r>
          </w:p>
        </w:tc>
      </w:tr>
    </w:tbl>
    <w:p>
      <w:pPr>
        <w:spacing w:after="0" w:before="220"/>
      </w:pPr>
      <w:r>
        <w:rPr>
          <w:b/>
          <w:bCs/>
          <w:color w:val="862633"/>
          <w:sz w:val="44"/>
          <w:szCs w:val="44"/>
        </w:rPr>
        <w:t xml:space="preserve">Natural Language Processing</w:t>
      </w:r>
    </w:p>
    <w:p>
      <w:pPr>
        <w:pBdr>
          <w:bottom w:val="single" w:color="B58A2E" w:sz="12" w:space="6"/>
        </w:pBdr>
        <w:spacing w:after="60"/>
      </w:pPr>
      <w:r>
        <w:rPr>
          <w:color w:val="5E1A24"/>
          <w:sz w:val="26"/>
          <w:szCs w:val="26"/>
        </w:rPr>
        <w:t xml:space="preserve">ISBA 2411 | Summer 2026</w:t>
      </w:r>
    </w:p>
    <w:p>
      <w:pPr>
        <w:spacing w:after="200"/>
      </w:pPr>
      <w:r>
        <w:rPr>
          <w:i/>
          <w:iCs/>
          <w:color w:val="6B5B5D"/>
          <w:sz w:val="20"/>
          <w:szCs w:val="20"/>
        </w:rPr>
        <w:t xml:space="preserve">Santa Clara University | Leavey School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Course Number</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ISBA 2411</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Course Title</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Natural Language Processing</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Credits</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4 Units (20 classes, 10 weeks, ~32 hours, 1 hr 35 min/class)</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Term</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Summer 2026</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Class Hours</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Tuesday &amp; Thursday, 5:45 – 7:20 PM</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Instructor</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Professor Malin</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Instructor URL</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github.com/JulesMalin/isba2411-nlp</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Office Hours</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Tuesday, 7:30 – 8:30 PM</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Office Location</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216UU, Lucas Hall</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Platform</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Google Colab (included in SCU Google Suite); SCU WAVE cluster available for HPC (VPN required off-campus)</w:t>
            </w:r>
          </w:p>
        </w:tc>
      </w:tr>
      <w:tr>
        <w:tc>
          <w:tcPr>
            <w:tcW w:type="dxa" w:w="2600"/>
            <w:tcBorders>
              <w:top w:val="single" w:color="D8C9CC" w:sz="4"/>
              <w:left w:val="single" w:color="D8C9CC" w:sz="4"/>
              <w:bottom w:val="single" w:color="D8C9CC" w:sz="4"/>
              <w:right w:val="single" w:color="D8C9CC" w:sz="4"/>
            </w:tcBorders>
            <w:shd w:fill="F3E7E9" w:color="auto" w:val="clear"/>
            <w:tcMar>
              <w:top w:type="dxa" w:w="60"/>
              <w:left w:type="dxa" w:w="110"/>
              <w:bottom w:type="dxa" w:w="60"/>
              <w:right w:type="dxa" w:w="110"/>
            </w:tcMar>
          </w:tcPr>
          <w:p>
            <w:r>
              <w:rPr>
                <w:b/>
                <w:bCs/>
                <w:color w:val="862633"/>
                <w:sz w:val="19"/>
                <w:szCs w:val="19"/>
              </w:rPr>
              <w:t xml:space="preserve">Prerequisites</w:t>
            </w:r>
          </w:p>
        </w:tc>
        <w:tc>
          <w:tcPr>
            <w:tcW w:type="dxa" w:w="6760"/>
            <w:tcBorders>
              <w:top w:val="single" w:color="D8C9CC" w:sz="4"/>
              <w:left w:val="single" w:color="D8C9CC" w:sz="4"/>
              <w:bottom w:val="single" w:color="D8C9CC" w:sz="4"/>
              <w:right w:val="single" w:color="D8C9CC" w:sz="4"/>
            </w:tcBorders>
            <w:tcMar>
              <w:top w:type="dxa" w:w="60"/>
              <w:left w:type="dxa" w:w="110"/>
              <w:bottom w:type="dxa" w:w="60"/>
              <w:right w:type="dxa" w:w="110"/>
            </w:tcMar>
          </w:tcPr>
          <w:p>
            <w:pPr>
              <w:spacing w:after="0" w:line="264"/>
            </w:pPr>
            <w:r>
              <w:rPr>
                <w:sz w:val="19"/>
                <w:szCs w:val="19"/>
              </w:rPr>
              <w:t xml:space="preserve">Python programming required (see related MSBA/MSIS courses); R is useful but not required. Prior ML coursework is not required but helpful. A free GitHub Student account is required; install and learn GitHub Desktop before Week 1.</w:t>
            </w:r>
          </w:p>
          <w:p>
            <w:pPr>
              <w:spacing w:after="0" w:line="264"/>
            </w:pPr>
            <w:r>
              <w:rPr>
                <w:sz w:val="19"/>
                <w:szCs w:val="19"/>
              </w:rPr>
              <w:t xml:space="preserve">A Google account with access to Google Colab is required (included in your SCU Google Suite); confirm you can open and run a Colab notebook before Week 1.</w:t>
            </w:r>
          </w:p>
        </w:tc>
      </w:tr>
    </w:tbl>
    <w:p>
      <w:pPr>
        <w:pStyle w:val="Heading1"/>
      </w:pPr>
      <w:r>
        <w:t xml:space="preserve">1. Course Overview</w:t>
      </w:r>
    </w:p>
    <w:p>
      <w:pPr>
        <w:spacing w:after="120" w:line="276"/>
      </w:pPr>
      <w:r>
        <w:t xml:space="preserve">This course provides a rigorous, hands-on foundation in Natural Language Processing and Large Language Models, tracing the arc from classical linguistic structure to production-grade generative AI systems. Drawing on Jurafsky &amp; Martin’s Speech and Language Processing (J&amp;M), students build core competencies in tokenization, POS tagging, named entity recognition, text classification, and language modeling, grounded in the probabilistic and neural frameworks that underpin modern NLP. Business applications woven throughout include sentiment analysis, document similarity, information extraction, and economic text analysis (e.g., FOMC transcripts and financial news).</w:t>
      </w:r>
    </w:p>
    <w:p>
      <w:pPr>
        <w:spacing w:after="120" w:line="276"/>
      </w:pPr>
      <w:r>
        <w:t xml:space="preserve">The course then advances into transformer-based models and large language models using Alammar &amp; Grootendorst’s Hands-On Large Language Models (HOLLM) and Tunstall et al.’s NLP with Transformers (Tunstall). Students implement BERT, RoBERTa, and generative LLMs via the Hugging Face ecosystem, apply prompt engineering and parameter-efficient fine-tuning (LoRA/QLoRA), and build retrieval-augmented generation (RAG) pipelines with LangChain and LangGraph. The final arc covers responsible AI (evaluation benchmarks, fairness, RLHF, red-teaming) and LLMOps: monitoring, governance, deployment architectures, and build-vs-buy decisions.</w:t>
      </w:r>
    </w:p>
    <w:p>
      <w:pPr>
        <w:spacing w:after="120" w:line="276"/>
      </w:pPr>
      <w:r>
        <w:t xml:space="preserve">All course code and materials run on Google Colab (already included in your SCU Google Suite). We will also use jupyter-ai, a modern extension to Jupyter Lab/Notebooks. The SCU WAVE cluster is available for large-scale, high-performance computing (off-campus use requires a VPN).</w:t>
      </w:r>
    </w:p>
    <w:p>
      <w:pPr>
        <w:pStyle w:val="Heading1"/>
      </w:pPr>
      <w:r>
        <w:t xml:space="preserve">2. Learning Objectives</w:t>
      </w:r>
    </w:p>
    <w:p>
      <w:pPr>
        <w:spacing w:after="80" w:line="276"/>
      </w:pPr>
      <w:r>
        <w:t xml:space="preserve">Upon successful completion of this course, students will be able to:</w:t>
      </w:r>
    </w:p>
    <w:p>
      <w:pPr>
        <w:pStyle w:val="ListParagraph"/>
        <w:numPr>
          <w:ilvl w:val="0"/>
          <w:numId w:val="2"/>
        </w:numPr>
        <w:spacing w:after="60" w:line="276"/>
      </w:pPr>
      <w:r>
        <w:t xml:space="preserve">Explain the NLP task landscape, spanning tokenization and parsing to generation and agentic workflows, and situate each within organizational and governance contexts</w:t>
      </w:r>
    </w:p>
    <w:p>
      <w:pPr>
        <w:pStyle w:val="ListParagraph"/>
        <w:numPr>
          <w:ilvl w:val="0"/>
          <w:numId w:val="2"/>
        </w:numPr>
        <w:spacing w:after="60" w:line="276"/>
      </w:pPr>
      <w:r>
        <w:t xml:space="preserve">Apply subword tokenization, POS tagging, NER, and constituency parsing to raw text using spaCy and Hugging Face, and analyze how linguistic structure shapes downstream model behavior</w:t>
      </w:r>
    </w:p>
    <w:p>
      <w:pPr>
        <w:pStyle w:val="ListParagraph"/>
        <w:numPr>
          <w:ilvl w:val="0"/>
          <w:numId w:val="2"/>
        </w:numPr>
        <w:spacing w:after="60" w:line="276"/>
      </w:pPr>
      <w:r>
        <w:t xml:space="preserve">Build and evaluate supervised text classification pipelines using GLMNet, FastText, spaCy, and AutoGluon, interpreting term-document matrices and n-gram language models</w:t>
      </w:r>
    </w:p>
    <w:p>
      <w:pPr>
        <w:pStyle w:val="ListParagraph"/>
        <w:numPr>
          <w:ilvl w:val="0"/>
          <w:numId w:val="2"/>
        </w:numPr>
        <w:spacing w:after="60" w:line="276"/>
      </w:pPr>
      <w:r>
        <w:t xml:space="preserve">Implement text retrieval, sentiment analysis, and document similarity pipelines using PyTorch and Hugging Face, connecting deep learning fundamentals to practical NLP workflows</w:t>
      </w:r>
    </w:p>
    <w:p>
      <w:pPr>
        <w:pStyle w:val="ListParagraph"/>
        <w:numPr>
          <w:ilvl w:val="0"/>
          <w:numId w:val="2"/>
        </w:numPr>
        <w:spacing w:after="60" w:line="276"/>
      </w:pPr>
      <w:r>
        <w:t xml:space="preserve">Apply word embeddings and topic modeling techniques, including t-SNE visualization and dimension reduction, applied to real-world corpora such as economic news and FOMC transcripts</w:t>
      </w:r>
    </w:p>
    <w:p>
      <w:pPr>
        <w:pStyle w:val="ListParagraph"/>
        <w:numPr>
          <w:ilvl w:val="0"/>
          <w:numId w:val="2"/>
        </w:numPr>
        <w:spacing w:after="60" w:line="276"/>
      </w:pPr>
      <w:r>
        <w:t xml:space="preserve">Explain the transformer architecture and interpret attention patterns in encoder and decoder models, and implement BERT, RoBERTa, and Hugging Face pre-training workflows</w:t>
      </w:r>
    </w:p>
    <w:p>
      <w:pPr>
        <w:pStyle w:val="ListParagraph"/>
        <w:numPr>
          <w:ilvl w:val="0"/>
          <w:numId w:val="2"/>
        </w:numPr>
        <w:spacing w:after="60" w:line="276"/>
      </w:pPr>
      <w:r>
        <w:t xml:space="preserve">Design and implement retrieval-augmented generation (RAG) systems using LangChain and LangGraph, incorporating multimodal LMs, agentic workflows, and hallucination mitigation strategies</w:t>
      </w:r>
    </w:p>
    <w:p>
      <w:pPr>
        <w:pStyle w:val="ListParagraph"/>
        <w:numPr>
          <w:ilvl w:val="0"/>
          <w:numId w:val="2"/>
        </w:numPr>
        <w:spacing w:after="60" w:line="276"/>
      </w:pPr>
      <w:r>
        <w:t xml:space="preserve">Evaluate NLP systems using benchmark frameworks and structured red-teaming, applying RLHF concepts, Shapley values, and fairness metrics to assess bias, robustness, and safety</w:t>
      </w:r>
    </w:p>
    <w:p>
      <w:pPr>
        <w:pStyle w:val="ListParagraph"/>
        <w:numPr>
          <w:ilvl w:val="0"/>
          <w:numId w:val="2"/>
        </w:numPr>
        <w:spacing w:after="60" w:line="276"/>
      </w:pPr>
      <w:r>
        <w:t xml:space="preserve">Design production NLP architectures addressing LLMOps, monitoring and drift detection, governance, privacy, and build-vs-buy deployment tradeoffs</w:t>
      </w:r>
    </w:p>
    <w:p>
      <w:pPr>
        <w:pStyle w:val="ListParagraph"/>
        <w:numPr>
          <w:ilvl w:val="0"/>
          <w:numId w:val="2"/>
        </w:numPr>
        <w:spacing w:after="60" w:line="276"/>
      </w:pPr>
      <w:r>
        <w:t xml:space="preserve">Implement end-to-end NLP task pipelines (NER, extractive QA, text classification) using Hugging Face, with multi-metric evaluation, error analysis, and weak supervision strategies</w:t>
      </w:r>
    </w:p>
    <w:p>
      <w:pPr>
        <w:pStyle w:val="ListParagraph"/>
        <w:numPr>
          <w:ilvl w:val="0"/>
          <w:numId w:val="2"/>
        </w:numPr>
        <w:spacing w:after="60" w:line="276"/>
      </w:pPr>
      <w:r>
        <w:t xml:space="preserve">Communicate NLP system value, risk, and ROI to non-technical stakeholders through data-driven storytelling, executive framing, and governance disclosure</w:t>
      </w:r>
    </w:p>
    <w:p>
      <w:pPr>
        <w:pStyle w:val="Heading1"/>
      </w:pPr>
      <w:r>
        <w:t xml:space="preserve">3. Required Texts &amp; Materials</w:t>
      </w:r>
    </w:p>
    <w:p>
      <w:pPr>
        <w:spacing w:after="80" w:line="276"/>
      </w:pPr>
      <w:r>
        <w:t xml:space="preserve">Three texts are used throughout the course and referenced in weekly readings:</w:t>
      </w:r>
    </w:p>
    <w:p>
      <w:pPr>
        <w:spacing w:after="120" w:line="276"/>
      </w:pPr>
      <w:r>
        <w:rPr>
          <w:b/>
          <w:bCs/>
        </w:rPr>
        <w:t xml:space="preserve">J&amp;M  </w:t>
      </w:r>
      <w:r>
        <w:t xml:space="preserve">Jurafsky, D. &amp; Martin, J.H. (2026). Speech and Language Processing (3rd ed. draft, released Jan 6, 2026). Free online: web.stanford.edu/~jurafsky/slp3/</w:t>
      </w:r>
    </w:p>
    <w:p>
      <w:pPr>
        <w:spacing w:after="120" w:line="276"/>
      </w:pPr>
      <w:r>
        <w:rPr>
          <w:b/>
          <w:bCs/>
        </w:rPr>
        <w:t xml:space="preserve">HOLLM  </w:t>
      </w:r>
      <w:r>
        <w:t xml:space="preserve">Alammar, J. &amp; Grootendorst, M. (2024). Hands-On Large Language Models. O'Reilly Media. ISBN: 978-1098150969</w:t>
      </w:r>
    </w:p>
    <w:p>
      <w:pPr>
        <w:spacing w:after="120" w:line="276"/>
      </w:pPr>
      <w:r>
        <w:rPr>
          <w:b/>
          <w:bCs/>
        </w:rPr>
        <w:t xml:space="preserve">Tunstall  </w:t>
      </w:r>
      <w:r>
        <w:t xml:space="preserve">Tunstall, L., von Werra, L., &amp; Wolf, T. (2022). Natural Language Processing with Transformers (Revised ed.). O'Reilly Media. ISBN: 978-1098136796</w:t>
      </w:r>
    </w:p>
    <w:p>
      <w:pPr>
        <w:spacing w:after="120" w:line="276"/>
      </w:pPr>
      <w:r>
        <w:t xml:space="preserve">Students will need access to Python 3.10+ and Google Colab or an equivalent GPU environment. A free GitHub Student account is required; install and learn GitHub Desktop before Week 1. A Google account with access to Google Colab (included in your SCU Google Suite) is required; confirm Colab access before Week 1.</w:t>
      </w:r>
    </w:p>
    <w:p>
      <w:pPr>
        <w:pStyle w:val="Heading1"/>
      </w:pPr>
      <w:r>
        <w:t xml:space="preserve">4. Grading &amp;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Component</w:t>
            </w:r>
          </w:p>
        </w:tc>
        <w:tc>
          <w:tcPr>
            <w:tcW w:type="dxa" w:w="120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Weight</w:t>
            </w:r>
          </w:p>
        </w:tc>
        <w:tc>
          <w:tcPr>
            <w:tcW w:type="dxa" w:w="576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Description</w:t>
            </w:r>
          </w:p>
        </w:tc>
      </w:tr>
      <w:tr>
        <w:tc>
          <w:tcPr>
            <w:tcW w:type="dxa" w:w="240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Final Team Project Milestones (Assignments 1–4)</w:t>
            </w:r>
          </w:p>
        </w:tc>
        <w:tc>
          <w:tcPr>
            <w:tcW w:type="dxa" w:w="120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30%</w:t>
            </w:r>
          </w:p>
        </w:tc>
        <w:tc>
          <w:tcPr>
            <w:tcW w:type="dxa" w:w="576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Interim milestone deliverables submitted throughout the course: Business Brief, Project Baseline &amp; Representation, Model Adaptation Experiment, and System Prototype. Milestone 1 is individual; later milestones are team deliverables. Collaboration within a team is expected and encouraged; collaboration across teams is not permitted.</w:t>
            </w:r>
          </w:p>
        </w:tc>
      </w:tr>
      <w:tr>
        <w:tc>
          <w:tcPr>
            <w:tcW w:type="dxa" w:w="240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Midterm Exam</w:t>
            </w:r>
          </w:p>
        </w:tc>
        <w:tc>
          <w:tcPr>
            <w:tcW w:type="dxa" w:w="120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25%</w:t>
            </w:r>
          </w:p>
        </w:tc>
        <w:tc>
          <w:tcPr>
            <w:tcW w:type="dxa" w:w="576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Individual, in-class exam (Week 6, Class 11). Covers Weeks 1–5 content. You may use Gen AI tools provided you cite their use.</w:t>
            </w:r>
          </w:p>
        </w:tc>
      </w:tr>
      <w:tr>
        <w:tc>
          <w:tcPr>
            <w:tcW w:type="dxa" w:w="240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Final Team Project: System &amp; Presentation (Assignment 5)</w:t>
            </w:r>
          </w:p>
        </w:tc>
        <w:tc>
          <w:tcPr>
            <w:tcW w:type="dxa" w:w="120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30%</w:t>
            </w:r>
          </w:p>
        </w:tc>
        <w:tc>
          <w:tcPr>
            <w:tcW w:type="dxa" w:w="5760"/>
            <w:tcBorders>
              <w:top w:val="single" w:color="D8C9CC" w:sz="4"/>
              <w:left w:val="single" w:color="D8C9CC" w:sz="4"/>
              <w:bottom w:val="single" w:color="D8C9CC" w:sz="4"/>
              <w:right w:val="single" w:color="D8C9CC" w:sz="4"/>
            </w:tcBorders>
            <w:tcMar>
              <w:top w:type="dxa" w:w="70"/>
              <w:left w:type="dxa" w:w="110"/>
              <w:bottom w:type="dxa" w:w="70"/>
              <w:right w:type="dxa" w:w="110"/>
            </w:tcMar>
            <w:vAlign w:val="top"/>
          </w:tcPr>
          <w:p>
            <w:pPr>
              <w:spacing w:after="0" w:line="264"/>
            </w:pPr>
            <w:r>
              <w:rPr>
                <w:b w:val="false"/>
                <w:bCs w:val="false"/>
                <w:sz w:val="18"/>
                <w:szCs w:val="18"/>
              </w:rPr>
              <w:t xml:space="preserve">Production-ready team system with full documentation, evaluation results, and a governance/risk appendix, presented live across both Week 10 classes (Aug 18 and Aug 20) (max 4 students; no exceptions). Cross-section groups permitted if multiple sections run. Evaluated against the Team Project Rubric (separate companion document).</w:t>
            </w:r>
          </w:p>
        </w:tc>
      </w:tr>
      <w:tr>
        <w:tc>
          <w:tcPr>
            <w:tcW w:type="dxa" w:w="240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In-Class Team Updates &amp; Participation</w:t>
            </w:r>
          </w:p>
        </w:tc>
        <w:tc>
          <w:tcPr>
            <w:tcW w:type="dxa" w:w="120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15%</w:t>
            </w:r>
          </w:p>
        </w:tc>
        <w:tc>
          <w:tcPr>
            <w:tcW w:type="dxa" w:w="5760"/>
            <w:tcBorders>
              <w:top w:val="single" w:color="D8C9CC" w:sz="4"/>
              <w:left w:val="single" w:color="D8C9CC" w:sz="4"/>
              <w:bottom w:val="single" w:color="D8C9CC" w:sz="4"/>
              <w:right w:val="single" w:color="D8C9CC" w:sz="4"/>
            </w:tcBorders>
            <w:shd w:fill="F7F4F2" w:color="auto" w:val="clear"/>
            <w:tcMar>
              <w:top w:type="dxa" w:w="70"/>
              <w:left w:type="dxa" w:w="110"/>
              <w:bottom w:type="dxa" w:w="70"/>
              <w:right w:type="dxa" w:w="110"/>
            </w:tcMar>
            <w:vAlign w:val="top"/>
          </w:tcPr>
          <w:p>
            <w:pPr>
              <w:spacing w:after="0" w:line="264"/>
            </w:pPr>
            <w:r>
              <w:rPr>
                <w:b w:val="false"/>
                <w:bCs w:val="false"/>
                <w:sz w:val="18"/>
                <w:szCs w:val="18"/>
              </w:rPr>
              <w:t xml:space="preserve">Teams give a brief in-class update on project progress during the weeks between milestones (Weeks 2, 4, 6, and 8). Graded on attendance: students earn credit for being present at these team-update sessions and for regular class attendance throughout the term.</w:t>
            </w:r>
          </w:p>
        </w:tc>
      </w:tr>
    </w:tbl>
    <w:p>
      <w:pPr>
        <w:spacing w:after="160" w:line="276"/>
      </w:pPr>
      <w:r>
        <w:rPr>
          <w:i/>
          <w:iCs/>
          <w:sz w:val="18"/>
          <w:szCs w:val="18"/>
        </w:rPr>
        <w:t xml:space="preserve">The detailed Team Project Rubric — five weighted dimensions scored 1–5 — is provided in the companion document, “Team Project Rubric.”</w:t>
      </w:r>
    </w:p>
    <w:p>
      <w:pPr>
        <w:pStyle w:val="Heading2"/>
      </w:pPr>
      <w:r>
        <w:t xml:space="preserve">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A (95–100)</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A- (90–94)</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B+ (87–89)</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B (83–86)</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B- (80–82)</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C+ (77–79)</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C (73–76)</w:t>
            </w:r>
          </w:p>
        </w:tc>
        <w:tc>
          <w:tcPr>
            <w:tcW w:type="dxa" w:w="1170"/>
            <w:tcBorders>
              <w:top w:val="single" w:color="D8C9CC" w:sz="4"/>
              <w:left w:val="single" w:color="D8C9CC" w:sz="4"/>
              <w:bottom w:val="single" w:color="D8C9CC" w:sz="4"/>
              <w:right w:val="single" w:color="D8C9CC" w:sz="4"/>
            </w:tcBorders>
            <w:shd w:fill="F3E7E9" w:color="auto" w:val="clear"/>
            <w:tcMar>
              <w:top w:type="dxa" w:w="60"/>
              <w:left w:type="dxa" w:w="60"/>
              <w:bottom w:type="dxa" w:w="60"/>
              <w:right w:type="dxa" w:w="60"/>
            </w:tcMar>
            <w:vAlign w:val="center"/>
          </w:tcPr>
          <w:p>
            <w:pPr>
              <w:spacing w:after="0"/>
              <w:jc w:val="center"/>
            </w:pPr>
            <w:r>
              <w:rPr>
                <w:b/>
                <w:bCs/>
                <w:color w:val="5E1A24"/>
                <w:sz w:val="16"/>
                <w:szCs w:val="16"/>
              </w:rPr>
              <w:t xml:space="preserve">F (&lt;73)</w:t>
            </w:r>
          </w:p>
        </w:tc>
      </w:tr>
    </w:tbl>
    <w:p>
      <w:r>
        <w:br w:type="page"/>
      </w:r>
    </w:p>
    <w:p>
      <w:pPr>
        <w:pStyle w:val="Heading1"/>
      </w:pPr>
      <w:r>
        <w:t xml:space="preserve">5. Weekly Schedule</w:t>
      </w:r>
    </w:p>
    <w:p>
      <w:pPr>
        <w:spacing w:after="120" w:line="276"/>
      </w:pPr>
      <w:r>
        <w:t xml:space="preserve">Class meets Tuesday and Thursday, 5:45–7:20 PM. The table below summarizes the full course schedule. Detailed weekly learning outcomes are provided in the companion document, “Weekly 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3100"/>
        <w:gridCol w:w="2240"/>
        <w:gridCol w:w="1900"/>
      </w:tblGrid>
      <w:tr>
        <w:trPr>
          <w:tblHeader/>
          <w:trHeight w:val="460" w:hRule="atLeast"/>
        </w:trPr>
        <w:tc>
          <w:tcPr>
            <w:tcW w:type="dxa" w:w="62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Week</w:t>
            </w:r>
          </w:p>
        </w:tc>
        <w:tc>
          <w:tcPr>
            <w:tcW w:type="dxa" w:w="150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Theme</w:t>
            </w:r>
          </w:p>
        </w:tc>
        <w:tc>
          <w:tcPr>
            <w:tcW w:type="dxa" w:w="310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Key Topics</w:t>
            </w:r>
          </w:p>
        </w:tc>
        <w:tc>
          <w:tcPr>
            <w:tcW w:type="dxa" w:w="224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Readings</w:t>
            </w:r>
          </w:p>
        </w:tc>
        <w:tc>
          <w:tcPr>
            <w:tcW w:type="dxa" w:w="1900"/>
            <w:tcBorders>
              <w:top w:val="single" w:color="D8C9CC" w:sz="4"/>
              <w:left w:val="single" w:color="D8C9CC" w:sz="4"/>
              <w:bottom w:val="single" w:color="D8C9CC" w:sz="4"/>
              <w:right w:val="single" w:color="D8C9CC" w:sz="4"/>
            </w:tcBorders>
            <w:shd w:fill="862633" w:color="auto" w:val="clear"/>
            <w:tcMar>
              <w:top w:type="dxa" w:w="70"/>
              <w:left w:type="dxa" w:w="110"/>
              <w:bottom w:type="dxa" w:w="70"/>
              <w:right w:type="dxa" w:w="110"/>
            </w:tcMar>
            <w:vAlign w:val="top"/>
          </w:tcPr>
          <w:p>
            <w:pPr>
              <w:spacing w:after="0" w:line="264"/>
            </w:pPr>
            <w:r>
              <w:rPr>
                <w:b/>
                <w:bCs/>
                <w:color w:val="FFFFFF"/>
                <w:sz w:val="19"/>
                <w:szCs w:val="19"/>
              </w:rPr>
              <w:t xml:space="preserve">Assignment</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1</w:t>
            </w:r>
          </w:p>
          <w:p>
            <w:pPr>
              <w:spacing w:after="0" w:line="248"/>
            </w:pPr>
            <w:r>
              <w:rPr>
                <w:b w:val="false"/>
                <w:bCs w:val="false"/>
                <w:sz w:val="17"/>
                <w:szCs w:val="17"/>
              </w:rPr>
              <w:t xml:space="preserve">Jun 16, 18</w:t>
            </w:r>
          </w:p>
        </w:tc>
        <w:tc>
          <w:tcPr>
            <w:tcW w:type="dxa" w:w="15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NLP as a Socio-Technical System</w:t>
            </w:r>
          </w:p>
        </w:tc>
        <w:tc>
          <w:tcPr>
            <w:tcW w:type="dxa" w:w="31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Ambiguity; task landscape; tokenization; LMs vs LLMs; governance; jupyter-ai intro</w:t>
            </w:r>
          </w:p>
        </w:tc>
        <w:tc>
          <w:tcPr>
            <w:tcW w:type="dxa" w:w="224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J&amp;M Ch. 2–3; HOLLM Ch. 1; Tunstall Ch. 1</w:t>
            </w:r>
          </w:p>
        </w:tc>
        <w:tc>
          <w:tcPr>
            <w:tcW w:type="dxa" w:w="19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Assignment 1</w:t>
            </w:r>
          </w:p>
          <w:p>
            <w:pPr>
              <w:spacing w:after="0" w:line="248"/>
            </w:pPr>
            <w:r>
              <w:rPr>
                <w:b w:val="false"/>
                <w:bCs w:val="false"/>
                <w:sz w:val="17"/>
                <w:szCs w:val="17"/>
              </w:rPr>
              <w:t xml:space="preserve">Milestone 1: Business Brief</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2</w:t>
            </w:r>
          </w:p>
          <w:p>
            <w:pPr>
              <w:spacing w:after="0" w:line="248"/>
            </w:pPr>
            <w:r>
              <w:rPr>
                <w:b w:val="false"/>
                <w:bCs w:val="false"/>
                <w:sz w:val="17"/>
                <w:szCs w:val="17"/>
              </w:rPr>
              <w:t xml:space="preserve">Jun 23, 25</w:t>
            </w:r>
          </w:p>
        </w:tc>
        <w:tc>
          <w:tcPr>
            <w:tcW w:type="dxa" w:w="15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Language as Structured Data</w:t>
            </w:r>
          </w:p>
        </w:tc>
        <w:tc>
          <w:tcPr>
            <w:tcW w:type="dxa" w:w="31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Subword tokenization; POS; NER; parsing; embeddings; multilingual pipelines; ML review; linear algebra</w:t>
            </w:r>
          </w:p>
        </w:tc>
        <w:tc>
          <w:tcPr>
            <w:tcW w:type="dxa" w:w="224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J&amp;M Ch. 17–18; HOLLM Ch. 2; Tunstall Ch. 4</w:t>
            </w:r>
          </w:p>
        </w:tc>
        <w:tc>
          <w:tcPr>
            <w:tcW w:type="dxa" w:w="19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Team Update</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3</w:t>
            </w:r>
          </w:p>
          <w:p>
            <w:pPr>
              <w:spacing w:after="0" w:line="248"/>
            </w:pPr>
            <w:r>
              <w:rPr>
                <w:b w:val="false"/>
                <w:bCs w:val="false"/>
                <w:sz w:val="17"/>
                <w:szCs w:val="17"/>
              </w:rPr>
              <w:t xml:space="preserve">Jun 30, Jul 2</w:t>
            </w:r>
          </w:p>
        </w:tc>
        <w:tc>
          <w:tcPr>
            <w:tcW w:type="dxa" w:w="15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Supervised Learning for NLP</w:t>
            </w:r>
          </w:p>
        </w:tc>
        <w:tc>
          <w:tcPr>
            <w:tcW w:type="dxa" w:w="31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POS tagging; term-document matrix; text classification (GLMNet, FastText, spaCy); AutoGluon multimodal</w:t>
            </w:r>
          </w:p>
        </w:tc>
        <w:tc>
          <w:tcPr>
            <w:tcW w:type="dxa" w:w="224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J&amp;M Ch. 4; HOLLM Ch. 4; Tunstall Ch. 2</w:t>
            </w:r>
          </w:p>
        </w:tc>
        <w:tc>
          <w:tcPr>
            <w:tcW w:type="dxa" w:w="19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Assignment 2</w:t>
            </w:r>
          </w:p>
          <w:p>
            <w:pPr>
              <w:spacing w:after="0" w:line="248"/>
            </w:pPr>
            <w:r>
              <w:rPr>
                <w:b w:val="false"/>
                <w:bCs w:val="false"/>
                <w:sz w:val="17"/>
                <w:szCs w:val="17"/>
              </w:rPr>
              <w:t xml:space="preserve">Milestone 2: Baseline &amp; Representation</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4</w:t>
            </w:r>
          </w:p>
          <w:p>
            <w:pPr>
              <w:spacing w:after="0" w:line="248"/>
            </w:pPr>
            <w:r>
              <w:rPr>
                <w:b w:val="false"/>
                <w:bCs w:val="false"/>
                <w:sz w:val="17"/>
                <w:szCs w:val="17"/>
              </w:rPr>
              <w:t xml:space="preserve">Jul 7, 9</w:t>
            </w:r>
          </w:p>
        </w:tc>
        <w:tc>
          <w:tcPr>
            <w:tcW w:type="dxa" w:w="15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Text Retrieval &amp; Deep Learning Intro</w:t>
            </w:r>
          </w:p>
        </w:tc>
        <w:tc>
          <w:tcPr>
            <w:tcW w:type="dxa" w:w="31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Web scraping; sentiment; summarization; doc similarity; deep learning intro; PyTorch</w:t>
            </w:r>
          </w:p>
        </w:tc>
        <w:tc>
          <w:tcPr>
            <w:tcW w:type="dxa" w:w="224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J&amp;M Ch. 6; HOLLM Ch. 8; Tunstall Ch. 6</w:t>
            </w:r>
          </w:p>
        </w:tc>
        <w:tc>
          <w:tcPr>
            <w:tcW w:type="dxa" w:w="19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Team Update</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5</w:t>
            </w:r>
          </w:p>
          <w:p>
            <w:pPr>
              <w:spacing w:after="0" w:line="248"/>
            </w:pPr>
            <w:r>
              <w:rPr>
                <w:b w:val="false"/>
                <w:bCs w:val="false"/>
                <w:sz w:val="17"/>
                <w:szCs w:val="17"/>
              </w:rPr>
              <w:t xml:space="preserve">Jul 14, 16</w:t>
            </w:r>
          </w:p>
        </w:tc>
        <w:tc>
          <w:tcPr>
            <w:tcW w:type="dxa" w:w="15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Deep Learning &amp; Topic Modeling</w:t>
            </w:r>
          </w:p>
        </w:tc>
        <w:tc>
          <w:tcPr>
            <w:tcW w:type="dxa" w:w="31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Deep learning (continued); Hugging Face sentiment &amp; QA; topic modeling; dimension reduction</w:t>
            </w:r>
          </w:p>
        </w:tc>
        <w:tc>
          <w:tcPr>
            <w:tcW w:type="dxa" w:w="224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J&amp;M Ch. 8; HOLLM Ch. 5; Tunstall Ch. 3</w:t>
            </w:r>
          </w:p>
        </w:tc>
        <w:tc>
          <w:tcPr>
            <w:tcW w:type="dxa" w:w="19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Assignment 3</w:t>
            </w:r>
          </w:p>
          <w:p>
            <w:pPr>
              <w:spacing w:after="0" w:line="248"/>
            </w:pPr>
            <w:r>
              <w:rPr>
                <w:b w:val="false"/>
                <w:bCs w:val="false"/>
                <w:sz w:val="17"/>
                <w:szCs w:val="17"/>
              </w:rPr>
              <w:t xml:space="preserve">Milestone 3: Model Adaptation</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6</w:t>
            </w:r>
          </w:p>
          <w:p>
            <w:pPr>
              <w:spacing w:after="0" w:line="248"/>
            </w:pPr>
            <w:r>
              <w:rPr>
                <w:b w:val="false"/>
                <w:bCs w:val="false"/>
                <w:sz w:val="17"/>
                <w:szCs w:val="17"/>
              </w:rPr>
              <w:t xml:space="preserve">Jul 21, 23</w:t>
            </w:r>
          </w:p>
        </w:tc>
        <w:tc>
          <w:tcPr>
            <w:tcW w:type="dxa" w:w="15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Embeddings &amp; Midterm</w:t>
            </w:r>
          </w:p>
        </w:tc>
        <w:tc>
          <w:tcPr>
            <w:tcW w:type="dxa" w:w="31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Word embeddings; t-SNE; economic news analysis; FOMC transcripts | Midterm (Class 11)</w:t>
            </w:r>
          </w:p>
        </w:tc>
        <w:tc>
          <w:tcPr>
            <w:tcW w:type="dxa" w:w="224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J&amp;M Ch. 5; HOLLM Ch. 10</w:t>
            </w:r>
          </w:p>
        </w:tc>
        <w:tc>
          <w:tcPr>
            <w:tcW w:type="dxa" w:w="19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Team Update (Jul 21)</w:t>
            </w:r>
          </w:p>
          <w:p>
            <w:pPr>
              <w:spacing w:after="0" w:line="248"/>
            </w:pPr>
            <w:r>
              <w:rPr>
                <w:b w:val="false"/>
                <w:bCs w:val="false"/>
                <w:sz w:val="17"/>
                <w:szCs w:val="17"/>
              </w:rPr>
              <w:t xml:space="preserve">Midterm (Class 11, Jul 23)</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7</w:t>
            </w:r>
          </w:p>
          <w:p>
            <w:pPr>
              <w:spacing w:after="0" w:line="248"/>
            </w:pPr>
            <w:r>
              <w:rPr>
                <w:b w:val="false"/>
                <w:bCs w:val="false"/>
                <w:sz w:val="17"/>
                <w:szCs w:val="17"/>
              </w:rPr>
              <w:t xml:space="preserve">Jul 28, 30</w:t>
            </w:r>
          </w:p>
        </w:tc>
        <w:tc>
          <w:tcPr>
            <w:tcW w:type="dxa" w:w="15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Language Models &amp; Transformers</w:t>
            </w:r>
          </w:p>
        </w:tc>
        <w:tc>
          <w:tcPr>
            <w:tcW w:type="dxa" w:w="31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Generalized LMs; Transformers paper; BERT; RoBERTa; Hugging Face; Gluon BERT pre-training</w:t>
            </w:r>
          </w:p>
        </w:tc>
        <w:tc>
          <w:tcPr>
            <w:tcW w:type="dxa" w:w="224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J&amp;M Ch. 7, 10; HOLLM Ch. 3; Tunstall Ch. 10</w:t>
            </w:r>
          </w:p>
        </w:tc>
        <w:tc>
          <w:tcPr>
            <w:tcW w:type="dxa" w:w="19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Assignment 4</w:t>
            </w:r>
          </w:p>
          <w:p>
            <w:pPr>
              <w:spacing w:after="0" w:line="248"/>
            </w:pPr>
            <w:r>
              <w:rPr>
                <w:b w:val="false"/>
                <w:bCs w:val="false"/>
                <w:sz w:val="17"/>
                <w:szCs w:val="17"/>
              </w:rPr>
              <w:t xml:space="preserve">Milestone 4: System Prototype</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8</w:t>
            </w:r>
          </w:p>
          <w:p>
            <w:pPr>
              <w:spacing w:after="0" w:line="248"/>
            </w:pPr>
            <w:r>
              <w:rPr>
                <w:b w:val="false"/>
                <w:bCs w:val="false"/>
                <w:sz w:val="17"/>
                <w:szCs w:val="17"/>
              </w:rPr>
              <w:t xml:space="preserve">Aug 4, 6</w:t>
            </w:r>
          </w:p>
        </w:tc>
        <w:tc>
          <w:tcPr>
            <w:tcW w:type="dxa" w:w="15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LMs, Generative AI &amp; RAG</w:t>
            </w:r>
          </w:p>
        </w:tc>
        <w:tc>
          <w:tcPr>
            <w:tcW w:type="dxa" w:w="31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Multimodal LMs; NLG; LangChain; RAG; LangGraph; Agentic workflows; Streamlit/Shiny</w:t>
            </w:r>
          </w:p>
        </w:tc>
        <w:tc>
          <w:tcPr>
            <w:tcW w:type="dxa" w:w="224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J&amp;M Ch. 11; HOLLM Ch. 7, 9; Tunstall Ch. 5, 7</w:t>
            </w:r>
          </w:p>
        </w:tc>
        <w:tc>
          <w:tcPr>
            <w:tcW w:type="dxa" w:w="19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Team Update</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9</w:t>
            </w:r>
          </w:p>
          <w:p>
            <w:pPr>
              <w:spacing w:after="0" w:line="248"/>
            </w:pPr>
            <w:r>
              <w:rPr>
                <w:b w:val="false"/>
                <w:bCs w:val="false"/>
                <w:sz w:val="17"/>
                <w:szCs w:val="17"/>
              </w:rPr>
              <w:t xml:space="preserve">Aug 11, 13</w:t>
            </w:r>
          </w:p>
        </w:tc>
        <w:tc>
          <w:tcPr>
            <w:tcW w:type="dxa" w:w="15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Evaluation, Ethics &amp; Responsible AI</w:t>
            </w:r>
          </w:p>
        </w:tc>
        <w:tc>
          <w:tcPr>
            <w:tcW w:type="dxa" w:w="31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RLHF; reinforcement learning; Shapley values; privacy; fairness in AI/ML; evaluating LLMs</w:t>
            </w:r>
          </w:p>
        </w:tc>
        <w:tc>
          <w:tcPr>
            <w:tcW w:type="dxa" w:w="224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J&amp;M Ch. 9; Tunstall Ch. 9</w:t>
            </w:r>
          </w:p>
        </w:tc>
        <w:tc>
          <w:tcPr>
            <w:tcW w:type="dxa" w:w="1900"/>
            <w:tcBorders>
              <w:top w:val="single" w:color="D8C9CC" w:sz="4"/>
              <w:left w:val="single" w:color="D8C9CC" w:sz="4"/>
              <w:bottom w:val="single" w:color="D8C9CC" w:sz="4"/>
              <w:right w:val="single" w:color="D8C9CC" w:sz="4"/>
            </w:tcBorders>
            <w:tcMar>
              <w:top w:type="dxa" w:w="88"/>
              <w:left w:type="dxa" w:w="108"/>
              <w:bottom w:type="dxa" w:w="88"/>
              <w:right w:type="dxa" w:w="108"/>
            </w:tcMar>
            <w:vAlign w:val="center"/>
          </w:tcPr>
          <w:p>
            <w:pPr>
              <w:spacing w:after="0" w:line="248"/>
            </w:pPr>
            <w:r>
              <w:rPr>
                <w:b w:val="false"/>
                <w:bCs w:val="false"/>
                <w:sz w:val="17"/>
                <w:szCs w:val="17"/>
              </w:rPr>
              <w:t xml:space="preserve">Assignment 5</w:t>
            </w:r>
          </w:p>
          <w:p>
            <w:pPr>
              <w:spacing w:after="0" w:line="248"/>
            </w:pPr>
            <w:r>
              <w:rPr>
                <w:b w:val="false"/>
                <w:bCs w:val="false"/>
                <w:sz w:val="17"/>
                <w:szCs w:val="17"/>
              </w:rPr>
              <w:t xml:space="preserve">Milestone 5: Final System &amp; Demo (due)</w:t>
            </w:r>
          </w:p>
        </w:tc>
      </w:tr>
      <w:tr>
        <w:trPr>
          <w:trHeight w:val="880" w:hRule="atLeast"/>
        </w:trPr>
        <w:tc>
          <w:tcPr>
            <w:tcW w:type="dxa" w:w="620"/>
            <w:tcBorders>
              <w:top w:val="single" w:color="D8C9CC" w:sz="4"/>
              <w:left w:val="single" w:color="D8C9CC" w:sz="4"/>
              <w:bottom w:val="single" w:color="D8C9CC" w:sz="4"/>
              <w:right w:val="single" w:color="D8C9CC" w:sz="4"/>
            </w:tcBorders>
            <w:shd w:fill="F3E7E9" w:color="auto" w:val="clear"/>
            <w:tcMar>
              <w:top w:type="dxa" w:w="88"/>
              <w:left w:type="dxa" w:w="108"/>
              <w:bottom w:type="dxa" w:w="88"/>
              <w:right w:type="dxa" w:w="108"/>
            </w:tcMar>
            <w:vAlign w:val="center"/>
          </w:tcPr>
          <w:p>
            <w:pPr>
              <w:spacing w:after="0" w:line="248"/>
            </w:pPr>
            <w:r>
              <w:rPr>
                <w:b/>
                <w:bCs/>
                <w:sz w:val="17"/>
                <w:szCs w:val="17"/>
              </w:rPr>
              <w:t xml:space="preserve">10</w:t>
            </w:r>
          </w:p>
          <w:p>
            <w:pPr>
              <w:spacing w:after="0" w:line="248"/>
            </w:pPr>
            <w:r>
              <w:rPr>
                <w:b w:val="false"/>
                <w:bCs w:val="false"/>
                <w:sz w:val="17"/>
                <w:szCs w:val="17"/>
              </w:rPr>
              <w:t xml:space="preserve">Aug 18, 20</w:t>
            </w:r>
          </w:p>
        </w:tc>
        <w:tc>
          <w:tcPr>
            <w:tcW w:type="dxa" w:w="15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Final Presentations &amp; Demos</w:t>
            </w:r>
          </w:p>
        </w:tc>
        <w:tc>
          <w:tcPr>
            <w:tcW w:type="dxa" w:w="31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Team final presentations &amp; demos across both classes (Aug 18 &amp; 20); operationalizing via readings; course wrap-up</w:t>
            </w:r>
          </w:p>
        </w:tc>
        <w:tc>
          <w:tcPr>
            <w:tcW w:type="dxa" w:w="224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HOLLM Ch. 11–12; Tunstall Ch. 8, 11</w:t>
            </w:r>
          </w:p>
        </w:tc>
        <w:tc>
          <w:tcPr>
            <w:tcW w:type="dxa" w:w="1900"/>
            <w:tcBorders>
              <w:top w:val="single" w:color="D8C9CC" w:sz="4"/>
              <w:left w:val="single" w:color="D8C9CC" w:sz="4"/>
              <w:bottom w:val="single" w:color="D8C9CC" w:sz="4"/>
              <w:right w:val="single" w:color="D8C9CC" w:sz="4"/>
            </w:tcBorders>
            <w:shd w:fill="F7F4F2" w:color="auto" w:val="clear"/>
            <w:tcMar>
              <w:top w:type="dxa" w:w="88"/>
              <w:left w:type="dxa" w:w="108"/>
              <w:bottom w:type="dxa" w:w="88"/>
              <w:right w:type="dxa" w:w="108"/>
            </w:tcMar>
            <w:vAlign w:val="center"/>
          </w:tcPr>
          <w:p>
            <w:pPr>
              <w:spacing w:after="0" w:line="248"/>
            </w:pPr>
            <w:r>
              <w:rPr>
                <w:b w:val="false"/>
                <w:bCs w:val="false"/>
                <w:sz w:val="17"/>
                <w:szCs w:val="17"/>
              </w:rPr>
              <w:t xml:space="preserve">Final Presentations</w:t>
            </w:r>
          </w:p>
          <w:p>
            <w:pPr>
              <w:spacing w:after="0" w:line="248"/>
            </w:pPr>
            <w:r>
              <w:rPr>
                <w:b w:val="false"/>
                <w:bCs w:val="false"/>
                <w:sz w:val="17"/>
                <w:szCs w:val="17"/>
              </w:rPr>
              <w:t xml:space="preserve">(Aug 18 &amp; 20)</w:t>
            </w:r>
          </w:p>
        </w:tc>
      </w:tr>
    </w:tbl>
    <w:p>
      <w:pPr>
        <w:pStyle w:val="Heading1"/>
      </w:pPr>
      <w:r>
        <w:t xml:space="preserve">6. Academic Policies &amp; Institutional Notices</w:t>
      </w:r>
    </w:p>
    <w:p>
      <w:pPr>
        <w:pStyle w:val="Heading2"/>
      </w:pPr>
      <w:r>
        <w:t xml:space="preserve">Academic Integrity</w:t>
      </w:r>
    </w:p>
    <w:p>
      <w:pPr>
        <w:spacing w:after="120" w:line="276"/>
      </w:pPr>
      <w:r>
        <w:t xml:space="preserve">The Academic Integrity pledge is an expression of the University's commitment to fostering a culture of integrity at Santa Clara University. All students are expected to abide by the SCU Academic Integrity Policy.</w:t>
      </w:r>
    </w:p>
    <w:p>
      <w:pPr>
        <w:spacing w:after="120" w:line="276"/>
      </w:pPr>
      <w:r>
        <w:t xml:space="preserve">You are welcome to use Gen AI tools like LLMs for coursework and in exams, provided you make a note when you do. It would be paradoxical not to allow use of LLMs in a class on AI. However, it is important for the instructor to see how well you use these tools; please cite all tool use when you avail of it.</w:t>
      </w:r>
    </w:p>
    <w:p>
      <w:pPr>
        <w:spacing w:after="120" w:line="276"/>
      </w:pPr>
      <w:r>
        <w:t xml:space="preserve">Course sharing sites such as Chegg are prohibited. Collaboration within a homework group is expected and encouraged, but collaboration across homework groups is not permitted. A student guilty of a dishonest act may receive a grade of F for the course.</w:t>
      </w:r>
    </w:p>
    <w:p>
      <w:pPr>
        <w:pStyle w:val="Heading2"/>
      </w:pPr>
      <w:r>
        <w:t xml:space="preserve">AI Tools Policy</w:t>
      </w:r>
    </w:p>
    <w:p>
      <w:pPr>
        <w:spacing w:after="60" w:line="276"/>
      </w:pPr>
      <w:r>
        <w:t xml:space="preserve">This course covers AI systems: you are expected to engage with them critically, not merely use them passively. Specific rules:</w:t>
      </w:r>
    </w:p>
    <w:p>
      <w:pPr>
        <w:pStyle w:val="ListParagraph"/>
        <w:numPr>
          <w:ilvl w:val="0"/>
          <w:numId w:val="2"/>
        </w:numPr>
        <w:spacing w:after="60" w:line="276"/>
      </w:pPr>
      <w:r>
        <w:t xml:space="preserve">All AI-generated content must be clearly disclosed with a brief explanation of how and why the tool was used</w:t>
      </w:r>
    </w:p>
    <w:p>
      <w:pPr>
        <w:pStyle w:val="ListParagraph"/>
        <w:numPr>
          <w:ilvl w:val="0"/>
          <w:numId w:val="2"/>
        </w:numPr>
        <w:spacing w:after="60" w:line="276"/>
      </w:pPr>
      <w:r>
        <w:t xml:space="preserve">You are responsible for the correctness, integrity, and originality of all submitted work</w:t>
      </w:r>
    </w:p>
    <w:p>
      <w:pPr>
        <w:pStyle w:val="ListParagraph"/>
        <w:numPr>
          <w:ilvl w:val="0"/>
          <w:numId w:val="2"/>
        </w:numPr>
        <w:spacing w:after="60" w:line="276"/>
      </w:pPr>
      <w:r>
        <w:t xml:space="preserve">AI tools may be used during the Midterm exam, provided use is cited</w:t>
      </w:r>
    </w:p>
    <w:p>
      <w:pPr>
        <w:pStyle w:val="ListParagraph"/>
        <w:numPr>
          <w:ilvl w:val="0"/>
          <w:numId w:val="2"/>
        </w:numPr>
        <w:spacing w:after="60" w:line="276"/>
      </w:pPr>
      <w:r>
        <w:t xml:space="preserve">Using AI to complete an assignment without engagement or disclosure constitutes academic dishonesty</w:t>
      </w:r>
    </w:p>
    <w:p>
      <w:pPr>
        <w:pStyle w:val="Heading2"/>
      </w:pPr>
      <w:r>
        <w:t xml:space="preserve">Late Work</w:t>
      </w:r>
    </w:p>
    <w:p>
      <w:pPr>
        <w:spacing w:after="120" w:line="276"/>
      </w:pPr>
      <w:r>
        <w:t xml:space="preserve">Assignments submitted late without prior approval will receive a 10% deduction per day, up to a maximum of 50%. Assignments more than 5 days late will receive zero. If you anticipate difficulty meeting a deadline, contact the instructor at least 48 hours in advance. Final Team Project milestones are group deliverables and extensions are rarely granted.</w:t>
      </w:r>
    </w:p>
    <w:p>
      <w:pPr>
        <w:pStyle w:val="Heading2"/>
      </w:pPr>
      <w:r>
        <w:t xml:space="preserve">Accessibility &amp; Accommodations (OAE)</w:t>
      </w:r>
    </w:p>
    <w:p>
      <w:pPr>
        <w:spacing w:after="120" w:line="276"/>
      </w:pPr>
      <w:r>
        <w:t xml:space="preserve">If you have a documented disability for which accommodations may be required, contact the Office of Accessible Education (oae@scu.edu | scu.edu/oae) as soon as possible. If you have already arranged accommodations through OAE, request them via your MyOAE portal and discuss them with the instructor within the first two weeks of class. At least two weeks' notice is recommended for proctored exams or other accommodations.</w:t>
      </w:r>
    </w:p>
    <w:p>
      <w:pPr>
        <w:pStyle w:val="Heading2"/>
      </w:pPr>
      <w:r>
        <w:t xml:space="preserve">Title IX &amp; Discrimination</w:t>
      </w:r>
    </w:p>
    <w:p>
      <w:pPr>
        <w:spacing w:after="120" w:line="276"/>
      </w:pPr>
      <w:r>
        <w:t xml:space="preserve">Santa Clara University is committed to providing a safe learning environment free of all forms of discrimination, sexual harassment, and sexual violence. California law (SB 493) requires the instructor to report information about sexual harassment or misconduct to the SCU Equal Opportunity and Title IX Office at (408) 551-3043. Confidential support is available through the SCU Wellness Center and CAPS.</w:t>
      </w:r>
    </w:p>
    <w:p>
      <w:pPr>
        <w:pStyle w:val="Heading2"/>
      </w:pPr>
      <w:r>
        <w:t xml:space="preserve">Pregnant &amp; Parenting Students</w:t>
      </w:r>
    </w:p>
    <w:p>
      <w:pPr>
        <w:spacing w:after="120" w:line="276"/>
      </w:pPr>
      <w:r>
        <w:t xml:space="preserve">SCU does not discriminate against any student on the basis of pregnancy or related medical conditions. Absences due to pregnancy-related conditions will be excused as medically necessary, with opportunity to make up missed work. Contact the Office of Accessible Education (OAE) or the Title IX Office for accommodations support.</w:t>
      </w:r>
    </w:p>
    <w:p>
      <w:pPr>
        <w:pStyle w:val="Heading2"/>
      </w:pPr>
      <w:r>
        <w:t xml:space="preserve">Attendance &amp; Participation</w:t>
      </w:r>
    </w:p>
    <w:p>
      <w:pPr>
        <w:spacing w:after="120" w:line="276"/>
      </w:pPr>
      <w:r>
        <w:t xml:space="preserve">Regular attendance is expected and is assessed through the In-Class Team Updates &amp; Participation component (15% of the course grade; see Grading &amp; Assessment). Teams give a brief in-class project update during Weeks 2, 4, 6, and 8, and attendance is taken at these sessions. More than two unexcused absences may negatively affect your participation grade. If you must miss class, you are responsible for obtaining notes and completing any in-class activities; please notify the instructor in advance when possible.</w:t>
      </w:r>
    </w:p>
    <w:p>
      <w:pPr>
        <w:pStyle w:val="Heading2"/>
      </w:pPr>
      <w:r>
        <w:t xml:space="preserve">Classroom Recordings</w:t>
      </w:r>
    </w:p>
    <w:p>
      <w:pPr>
        <w:spacing w:after="120" w:line="276"/>
      </w:pPr>
      <w:r>
        <w:t xml:space="preserve">All online class meetings will be recorded and made available on Camino. Dissemination or sharing of any classroom recording without the permission of the instructor is prohibited and may result in disciplinary action. At the instructor's discretion, violations may also have an adverse effect on the student's grade.</w:t>
      </w:r>
    </w:p>
    <w:p>
      <w:pPr>
        <w:pStyle w:val="Heading2"/>
      </w:pPr>
      <w:r>
        <w:t xml:space="preserve">Technology Support</w:t>
      </w:r>
    </w:p>
    <w:p>
      <w:pPr>
        <w:spacing w:after="120" w:line="276"/>
      </w:pPr>
      <w:r>
        <w:t xml:space="preserve">For Camino support, contact caminosupport@scu.edu or call 408-551-3572. For Zoom assistance, contact Media Services at mediaservices@scu.edu or 408-554-4520. For SCU network and computing support, contact the Technology Help Desk at techdesk@scu.edu or 408-554-5700.</w:t>
      </w:r>
    </w:p>
    <w:p>
      <w:pPr>
        <w:pStyle w:val="Heading2"/>
      </w:pPr>
      <w:r>
        <w:t xml:space="preserve">Wellness</w:t>
      </w:r>
    </w:p>
    <w:p>
      <w:pPr>
        <w:spacing w:after="120" w:line="276"/>
      </w:pPr>
      <w:r>
        <w:t xml:space="preserve">Your wellbeing matters. Jesuit education is grounded in cura personalis, concern for the whole person. Attend to your sleep, nutrition, and mental health. SCU provides free counseling through CAPS (408-554-5220, 24/7 support line) and additional resources through the Wellness Center (scu.edu/wellness) and Culture of Care (scu.edu/osl/culture-of-care). Please reach out early, to the instructor or to SCU resources, whenever you need support.</w:t>
      </w:r>
    </w:p>
    <w:p>
      <w:pPr>
        <w:pStyle w:val="Heading2"/>
      </w:pPr>
      <w:r>
        <w:t xml:space="preserve">Copyright</w:t>
      </w:r>
    </w:p>
    <w:p>
      <w:pPr>
        <w:spacing w:after="120" w:line="276"/>
      </w:pPr>
      <w:r>
        <w:t xml:space="preserve">Materials in this course are protected by United States copyright law. The instructor holds copyright on all notes, handouts, slides, and videos created for this course. You may make copies for your own use and share materials with other enrolled students. You may not publicly distribute course materials without written permission.</w:t>
      </w:r>
    </w:p>
    <w:p>
      <w:pPr>
        <w:spacing w:after="0" w:line="276"/>
      </w:pPr>
      <w:r>
        <w:rPr>
          <w:i/>
          <w:iCs/>
          <w:color w:val="6B5B5D"/>
        </w:rPr>
        <w:t xml:space="preserve">This syllabus is subject to change. Any modifications will be announced via Camino with advance notice.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9CC" w:sz="4" w:space="2"/>
      </w:pBdr>
      <w:tabs>
        <w:tab w:val="right" w:pos="9360"/>
      </w:tabs>
    </w:pPr>
    <w:r>
      <w:rPr>
        <w:color w:val="8A7A7C"/>
        <w:sz w:val="15"/>
        <w:szCs w:val="15"/>
      </w:rPr>
      <w:t xml:space="preserve">Santa Clara University | Leavey School of Business</w:t>
    </w:r>
    <w:r>
      <w:rPr>
        <w:color w:val="8A7A7C"/>
        <w:sz w:val="15"/>
        <w:szCs w:val="15"/>
      </w:rPr>
      <w:t xml:space="preserve">	Page </w:t>
    </w:r>
    <w:r>
      <w:rPr>
        <w:color w:val="8A7A7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A2E" w:sz="4" w:space="2"/>
      </w:pBdr>
      <w:spacing w:after="60"/>
    </w:pPr>
    <w:r>
      <w:rPr>
        <w:color w:val="862633"/>
        <w:sz w:val="15"/>
        <w:szCs w:val="15"/>
      </w:rPr>
      <w:t xml:space="preserve">ISBA 2411 | Natural Language Processing | Santa Clara University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8A2E" w:sz="6" w:space="4"/>
      </w:pBdr>
      <w:spacing w:after="140" w:before="280"/>
      <w:outlineLvl w:val="0"/>
    </w:pPr>
    <w:rPr>
      <w:rFonts w:ascii="Arial" w:cs="Arial" w:eastAsia="Arial" w:hAnsi="Arial"/>
      <w:b/>
      <w:bCs/>
      <w:color w:val="862633"/>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5E1A24"/>
      <w:sz w:val="23"/>
      <w:szCs w:val="23"/>
    </w:rPr>
  </w:style>
  <w:style w:type="paragraph" w:styleId="Heading3">
    <w:name w:val="Heading 3"/>
    <w:basedOn w:val="Normal"/>
    <w:next w:val="Normal"/>
    <w:qFormat/>
    <w:pPr>
      <w:spacing w:after="60" w:before="140"/>
      <w:outlineLvl w:val="2"/>
    </w:pPr>
    <w:rPr>
      <w:rFonts w:ascii="Arial" w:cs="Arial" w:eastAsia="Arial" w:hAnsi="Arial"/>
      <w:b/>
      <w:bCs/>
      <w:color w:val="2A2A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2026-06-13T17:08:20.955Z</dcterms:created>
  <dcterms:modified xsi:type="dcterms:W3CDTF">2026-06-13T17:08:20.955Z</dcterms:modified>
</cp:coreProperties>
</file>

<file path=docProps/custom.xml><?xml version="1.0" encoding="utf-8"?>
<Properties xmlns="http://schemas.openxmlformats.org/officeDocument/2006/custom-properties" xmlns:vt="http://schemas.openxmlformats.org/officeDocument/2006/docPropsVTypes"/>
</file>