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862633" w:sz="2"/>
              <w:left w:val="single" w:color="862633" w:sz="2"/>
              <w:bottom w:val="single" w:color="B58A2E" w:sz="24"/>
              <w:right w:val="single" w:color="862633" w:sz="2"/>
            </w:tcBorders>
            <w:shd w:fill="862633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30" w:line="240"/>
            </w:pPr>
            <w:r>
              <w:rPr>
                <w:b/>
                <w:bCs/>
                <w:color w:val="FFFFFF"/>
                <w:spacing w:val="60"/>
                <w:sz w:val="30"/>
                <w:szCs w:val="30"/>
              </w:rPr>
              <w:t xml:space="preserve">SANTA CLARA UNIVERSITY</w:t>
            </w:r>
          </w:p>
          <w:p>
            <w:pPr>
              <w:spacing w:after="0" w:line="240"/>
            </w:pPr>
            <w:r>
              <w:rPr>
                <w:i/>
                <w:iCs/>
                <w:color w:val="F2E4C9"/>
                <w:sz w:val="21"/>
                <w:szCs w:val="21"/>
              </w:rPr>
              <w:t xml:space="preserve">Leavey School of Business</w:t>
            </w:r>
          </w:p>
        </w:tc>
      </w:tr>
    </w:tbl>
    <w:p>
      <w:pPr>
        <w:spacing w:after="0" w:before="220"/>
      </w:pPr>
      <w:r>
        <w:rPr>
          <w:b/>
          <w:bCs/>
          <w:color w:val="862633"/>
          <w:sz w:val="44"/>
          <w:szCs w:val="44"/>
        </w:rPr>
        <w:t xml:space="preserve">Natural Language Processing</w:t>
      </w:r>
    </w:p>
    <w:p>
      <w:pPr>
        <w:pBdr>
          <w:bottom w:val="single" w:color="B58A2E" w:sz="12" w:space="6"/>
        </w:pBdr>
        <w:spacing w:after="60"/>
      </w:pPr>
      <w:r>
        <w:rPr>
          <w:color w:val="5E1A24"/>
          <w:sz w:val="26"/>
          <w:szCs w:val="26"/>
        </w:rPr>
        <w:t xml:space="preserve">ISBA 2411 | Weekly Learning Outcomes</w:t>
      </w:r>
    </w:p>
    <w:p>
      <w:pPr>
        <w:spacing w:after="200"/>
      </w:pPr>
      <w:r>
        <w:rPr>
          <w:i/>
          <w:iCs/>
          <w:color w:val="6B5B5D"/>
          <w:sz w:val="20"/>
          <w:szCs w:val="20"/>
        </w:rPr>
        <w:t xml:space="preserve">Santa Clara University | Leavey School of Business</w:t>
      </w:r>
    </w:p>
    <w:p>
      <w:pPr>
        <w:pStyle w:val="Heading1"/>
      </w:pPr>
      <w:r>
        <w:t xml:space="preserve">Weekly Learning Outcomes</w:t>
      </w:r>
    </w:p>
    <w:p>
      <w:pPr>
        <w:spacing w:after="120" w:line="276"/>
      </w:pPr>
      <w:r>
        <w:t xml:space="preserve">Outcomes are aligned to Bloom's Taxonomy (Remember → Understand → Apply → Analyze → Evaluate → Create).</w:t>
      </w:r>
    </w:p>
    <w:p>
      <w:pPr>
        <w:pStyle w:val="Heading3"/>
      </w:pPr>
      <w:r>
        <w:t xml:space="preserve">Week 1: NLP as a Socio-Technical System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Ambiguity and NLP task landscape; tokenization &amp; normalization; language models vs LLMs; transformer ecosystem; foundation models in organizations; risk &amp; governance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Explain why natural language is inherently ambiguous and how this affects NLP system design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Differentiate between traditional language models and large language models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Identify major NLP task categories and their real-world applications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Describe NLP systems as socio-technical artifacts with organizational, ethical, and governance implications</w:t>
      </w:r>
    </w:p>
    <w:p>
      <w:pPr>
        <w:pStyle w:val="Heading3"/>
      </w:pPr>
      <w:r>
        <w:t xml:space="preserve">Week 2: Language as Structured Data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Subword tokenization; POS &amp; NER; constituency parsing; syntactic ambiguity; embeddings as linguistic interfaces; tokenizer–model mismatch; multilingual pipelines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Apply tokenization and normalization techniques to raw text corpora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Interpret linguistic annotations such as POS tags and named entities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Analyze sources of syntactic ambiguity and their downstream effects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Evaluate tokenizer choices for multilingual and pretrained models</w:t>
      </w:r>
    </w:p>
    <w:p>
      <w:pPr>
        <w:pStyle w:val="Heading3"/>
      </w:pPr>
      <w:r>
        <w:t xml:space="preserve">Week 3: Supervised Learning for NLP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N-gram LMs &amp; perplexity; distributional semantics; neural sequence models; transformer generation; decoding strategies; scaling laws; context window limits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Explain the progression from probabilistic language models to neural representations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Compute and interpret perplexity and related language model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Compare distributional and contextual representations of meaning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Analyze tradeoffs in decoding strategies and context window design</w:t>
      </w:r>
    </w:p>
    <w:p>
      <w:pPr>
        <w:pStyle w:val="Heading3"/>
      </w:pPr>
      <w:r>
        <w:t xml:space="preserve">Week 4: Text Retrieval &amp; Deep Learning Intro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Static vs contextual embeddings; masked LM objectives; semantic similarity; clustering &amp; topic modeling; vector search; embedding bias &amp; evaluation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Distinguish between static and contextual embedding approaches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Apply embeddings to similarity search, clustering, and topic modeling 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Evaluate embedding quality using quantitative and qualitative methods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Assess sources of bias in semantic representations</w:t>
      </w:r>
    </w:p>
    <w:p>
      <w:pPr>
        <w:pStyle w:val="Heading3"/>
      </w:pPr>
      <w:r>
        <w:t xml:space="preserve">Week 5: Deep Learning &amp; Topic Modeling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Self-attention; encoder/decoder vs decoder-only; positional encoding; long-range dependency modeling; interpretability; efficient attention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Explain the transformer architecture and self-attention mechanism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Compare encoder–decoder and decoder-only model designs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Analyze how transformers model long-range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Interpret attention patterns to reason about model behavior</w:t>
      </w:r>
    </w:p>
    <w:p>
      <w:pPr>
        <w:pStyle w:val="Heading3"/>
      </w:pPr>
      <w:r>
        <w:t xml:space="preserve">Week 6: Embeddings &amp; Midterm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Instruction tuning; alignment; prompt engineering; PEFT (LoRA/QLoRA); fine-tuning vs prompting; system control &amp; routing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Apply prompt engineering and parameter-efficient fine-tuning techniques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Compare fine-tuning, PEFT, and prompting strategies for different use cases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Analyze alignment and control challenges in deployed LLM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Select appropriate adaptation strategies under practical constraints</w:t>
      </w:r>
    </w:p>
    <w:p>
      <w:pPr>
        <w:pStyle w:val="Heading3"/>
      </w:pPr>
      <w:r>
        <w:t xml:space="preserve">Week 7: Language Models &amp; Transformers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Classification; NER &amp; sequence labeling; information extraction; QA pipelines; weak supervision; synthetic data generation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 core NLP tasks using transformer-based pipelines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Evaluate task performance using appropriate metrics and error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Analyze the role of weak supervision and synthetic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Design task pipelines that leverage LLM capabilities responsibly</w:t>
      </w:r>
    </w:p>
    <w:p>
      <w:pPr>
        <w:pStyle w:val="Heading3"/>
      </w:pPr>
      <w:r>
        <w:t xml:space="preserve">Week 8: LMs, Generative AI &amp; RAG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Dense &amp; hybrid retrieval; vector DBs; RAG architectures; reranking; grounding; hallucination mitigation; citation UX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Explain the motivation and architecture of RAG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Build retrieval pipelines using dense and hybrid approaches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Evaluate grounding and hallucination risks in generative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Design user-facing citation and evidence mechanisms</w:t>
      </w:r>
    </w:p>
    <w:p>
      <w:pPr>
        <w:pStyle w:val="Heading3"/>
      </w:pPr>
      <w:r>
        <w:t xml:space="preserve">Week 9: Evaluation, Ethics &amp; Responsible AI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LLM benchmarks; bias &amp; fairness; robustness; red-teaming; decoding safety; cost-latency-quality tradeoffs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Apply evaluation frameworks to assess LLM performance and reliability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Analyze bias, fairness, and robustness issues in NLP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Conduct structured risk and red-teaming assessments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Evaluate tradeoffs among performance, cost, latency, and safety</w:t>
      </w:r>
    </w:p>
    <w:p>
      <w:pPr>
        <w:pStyle w:val="Heading3"/>
      </w:pPr>
      <w:r>
        <w:t xml:space="preserve">Week 10: Operationalizing NLP &amp; Final Presentations</w:t>
      </w:r>
    </w:p>
    <w:p>
      <w:pPr>
        <w:spacing w:after="60" w:line="276"/>
      </w:pPr>
      <w:r>
        <w:rPr>
          <w:b/>
          <w:bCs/>
        </w:rPr>
        <w:t xml:space="preserve">Key Topics: </w:t>
      </w:r>
      <w:r>
        <w:t xml:space="preserve">LLMOps; monitoring &amp; drift; governance &amp; privacy; deployment architectures; build-vs-buy; technical storytelling; ROI framing; executive communication; risk disclosure</w:t>
      </w:r>
    </w:p>
    <w:p>
      <w:pPr>
        <w:spacing w:after="40" w:line="276"/>
      </w:pPr>
      <w:r>
        <w:rPr>
          <w:b/>
          <w:bCs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Design end-to-end NLP system architectures for production use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Apply monitoring, drift detection, governance, and privacy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Communicate NLP system value, ROI, and risk to non-technical stakeholders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Present an end-to-end NLP system with clear articulation of risks and benefits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9CC" w:sz="4" w:space="2"/>
      </w:pBdr>
      <w:tabs>
        <w:tab w:val="right" w:pos="9360"/>
      </w:tabs>
    </w:pPr>
    <w:r>
      <w:rPr>
        <w:color w:val="8A7A7C"/>
        <w:sz w:val="15"/>
        <w:szCs w:val="15"/>
      </w:rPr>
      <w:t xml:space="preserve">Santa Clara University | Leavey School of Business</w:t>
    </w:r>
    <w:r>
      <w:rPr>
        <w:color w:val="8A7A7C"/>
        <w:sz w:val="15"/>
        <w:szCs w:val="15"/>
      </w:rPr>
      <w:t xml:space="preserve">	Page </w:t>
    </w:r>
    <w:r>
      <w:rPr>
        <w:color w:val="8A7A7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A2E" w:sz="4" w:space="2"/>
      </w:pBdr>
      <w:spacing w:after="60"/>
    </w:pPr>
    <w:r>
      <w:rPr>
        <w:color w:val="862633"/>
        <w:sz w:val="15"/>
        <w:szCs w:val="15"/>
      </w:rPr>
      <w:t xml:space="preserve">ISBA 2411 | Natural Language Processing | Santa Clara University | Summer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8A2E" w:sz="6" w:space="4"/>
      </w:pBdr>
      <w:spacing w:after="140" w:before="280"/>
      <w:outlineLvl w:val="0"/>
    </w:pPr>
    <w:rPr>
      <w:rFonts w:ascii="Arial" w:cs="Arial" w:eastAsia="Arial" w:hAnsi="Arial"/>
      <w:b/>
      <w:bCs/>
      <w:color w:val="8626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5E1A24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A2A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2026-06-13T17:08:21.188Z</dcterms:created>
  <dcterms:modified xsi:type="dcterms:W3CDTF">2026-06-13T17:08:21.188Z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