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872" w:rsidRDefault="000A1872" w:rsidP="000A1872">
      <w:pPr>
        <w:pStyle w:val="7izenburua"/>
      </w:pPr>
      <w:r>
        <w:t>Elipse de Kepler</w:t>
      </w:r>
      <w:bookmarkStart w:id="0" w:name="_GoBack"/>
      <w:bookmarkEnd w:id="0"/>
    </w:p>
    <w:p w:rsidR="000A1872" w:rsidRDefault="000A1872" w:rsidP="000A1872">
      <w:pPr>
        <w:pStyle w:val="TextoIndepEj"/>
      </w:pPr>
      <w:r>
        <w:t>Un planeta sigue una órbita elíptica representada en coordenadas cartesianas por la ecuación:</w:t>
      </w:r>
    </w:p>
    <w:p w:rsidR="000A1872" w:rsidRDefault="000A1872" w:rsidP="000A1872">
      <w:pPr>
        <w:pStyle w:val="TextoIndepEj"/>
      </w:pPr>
      <w:r>
        <w:tab/>
      </w:r>
      <w:r>
        <w:tab/>
      </w:r>
      <w:r>
        <w:rPr>
          <w:position w:val="-10"/>
        </w:rPr>
        <w:object w:dxaOrig="25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pt;height:17pt" o:ole="">
            <v:imagedata r:id="rId4" o:title=""/>
          </v:shape>
          <o:OLEObject Type="Embed" ProgID="Equation.DSMT4" ShapeID="_x0000_i1025" DrawAspect="Content" ObjectID="_1634361827" r:id="rId5"/>
        </w:object>
      </w:r>
    </w:p>
    <w:p w:rsidR="000A1872" w:rsidRDefault="000A1872" w:rsidP="000A1872">
      <w:pPr>
        <w:pStyle w:val="TextoIndepEj"/>
      </w:pPr>
      <w:r>
        <w:t>Se pide, ajustar los parámetros de esta ecuación, con las 10 observaciones siguientes de la pos</w:t>
      </w:r>
      <w:r>
        <w:t>i</w:t>
      </w:r>
      <w:r>
        <w:t>ción del planeta: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</w:tblGrid>
      <w:tr w:rsidR="000A1872" w:rsidTr="004A588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right w:val="single" w:sz="12" w:space="0" w:color="auto"/>
            </w:tcBorders>
          </w:tcPr>
          <w:p w:rsidR="000A1872" w:rsidRDefault="000A1872" w:rsidP="004A588A">
            <w:pPr>
              <w:pStyle w:val="CeldaEjemplo"/>
              <w:rPr>
                <w:i/>
                <w:iCs/>
              </w:rPr>
            </w:pPr>
            <w:r>
              <w:rPr>
                <w:i/>
                <w:iCs/>
              </w:rPr>
              <w:t>x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0A1872" w:rsidRDefault="000A1872" w:rsidP="004A588A">
            <w:pPr>
              <w:pStyle w:val="CeldaEjemplo"/>
            </w:pPr>
            <w:r>
              <w:t>1.02</w:t>
            </w:r>
          </w:p>
        </w:tc>
        <w:tc>
          <w:tcPr>
            <w:tcW w:w="0" w:type="auto"/>
          </w:tcPr>
          <w:p w:rsidR="000A1872" w:rsidRDefault="000A1872" w:rsidP="004A588A">
            <w:pPr>
              <w:pStyle w:val="CeldaEjemplo"/>
            </w:pPr>
            <w:r>
              <w:t>0.95</w:t>
            </w:r>
          </w:p>
        </w:tc>
        <w:tc>
          <w:tcPr>
            <w:tcW w:w="0" w:type="auto"/>
          </w:tcPr>
          <w:p w:rsidR="000A1872" w:rsidRDefault="000A1872" w:rsidP="004A588A">
            <w:pPr>
              <w:pStyle w:val="CeldaEjemplo"/>
            </w:pPr>
            <w:r>
              <w:t>0.87</w:t>
            </w:r>
          </w:p>
        </w:tc>
        <w:tc>
          <w:tcPr>
            <w:tcW w:w="0" w:type="auto"/>
          </w:tcPr>
          <w:p w:rsidR="000A1872" w:rsidRDefault="000A1872" w:rsidP="004A588A">
            <w:pPr>
              <w:pStyle w:val="CeldaEjemplo"/>
            </w:pPr>
            <w:r>
              <w:t>0.77</w:t>
            </w:r>
          </w:p>
        </w:tc>
        <w:tc>
          <w:tcPr>
            <w:tcW w:w="0" w:type="auto"/>
          </w:tcPr>
          <w:p w:rsidR="000A1872" w:rsidRDefault="000A1872" w:rsidP="004A588A">
            <w:pPr>
              <w:pStyle w:val="CeldaEjemplo"/>
            </w:pPr>
            <w:r>
              <w:t>0.67</w:t>
            </w:r>
          </w:p>
        </w:tc>
        <w:tc>
          <w:tcPr>
            <w:tcW w:w="0" w:type="auto"/>
          </w:tcPr>
          <w:p w:rsidR="000A1872" w:rsidRDefault="000A1872" w:rsidP="004A588A">
            <w:pPr>
              <w:pStyle w:val="CeldaEjemplo"/>
            </w:pPr>
            <w:r>
              <w:t>0.56</w:t>
            </w:r>
          </w:p>
        </w:tc>
        <w:tc>
          <w:tcPr>
            <w:tcW w:w="0" w:type="auto"/>
          </w:tcPr>
          <w:p w:rsidR="000A1872" w:rsidRDefault="000A1872" w:rsidP="004A588A">
            <w:pPr>
              <w:pStyle w:val="CeldaEjemplo"/>
            </w:pPr>
            <w:r>
              <w:t>0.44</w:t>
            </w:r>
          </w:p>
        </w:tc>
        <w:tc>
          <w:tcPr>
            <w:tcW w:w="0" w:type="auto"/>
          </w:tcPr>
          <w:p w:rsidR="000A1872" w:rsidRDefault="000A1872" w:rsidP="004A588A">
            <w:pPr>
              <w:pStyle w:val="CeldaEjemplo"/>
            </w:pPr>
            <w:r>
              <w:t>0.30</w:t>
            </w:r>
          </w:p>
        </w:tc>
        <w:tc>
          <w:tcPr>
            <w:tcW w:w="0" w:type="auto"/>
          </w:tcPr>
          <w:p w:rsidR="000A1872" w:rsidRDefault="000A1872" w:rsidP="004A588A">
            <w:pPr>
              <w:pStyle w:val="CeldaEjemplo"/>
            </w:pPr>
            <w:r>
              <w:t>0.16</w:t>
            </w:r>
          </w:p>
        </w:tc>
        <w:tc>
          <w:tcPr>
            <w:tcW w:w="0" w:type="auto"/>
          </w:tcPr>
          <w:p w:rsidR="000A1872" w:rsidRDefault="000A1872" w:rsidP="004A588A">
            <w:pPr>
              <w:pStyle w:val="CeldaEjemplo"/>
            </w:pPr>
            <w:r>
              <w:t>0.01</w:t>
            </w:r>
          </w:p>
        </w:tc>
      </w:tr>
      <w:tr w:rsidR="000A1872" w:rsidTr="004A588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right w:val="single" w:sz="12" w:space="0" w:color="auto"/>
            </w:tcBorders>
          </w:tcPr>
          <w:p w:rsidR="000A1872" w:rsidRDefault="000A1872" w:rsidP="004A588A">
            <w:pPr>
              <w:pStyle w:val="CeldaUltiEjemplo"/>
              <w:rPr>
                <w:i/>
                <w:iCs/>
              </w:rPr>
            </w:pPr>
            <w:r>
              <w:rPr>
                <w:i/>
                <w:iCs/>
              </w:rPr>
              <w:t>y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0A1872" w:rsidRDefault="000A1872" w:rsidP="004A588A">
            <w:pPr>
              <w:pStyle w:val="CeldaEjemplo"/>
            </w:pPr>
            <w:r>
              <w:t>0.39</w:t>
            </w:r>
          </w:p>
        </w:tc>
        <w:tc>
          <w:tcPr>
            <w:tcW w:w="0" w:type="auto"/>
          </w:tcPr>
          <w:p w:rsidR="000A1872" w:rsidRDefault="000A1872" w:rsidP="004A588A">
            <w:pPr>
              <w:pStyle w:val="CeldaEjemplo"/>
            </w:pPr>
            <w:r>
              <w:t>0.32</w:t>
            </w:r>
          </w:p>
        </w:tc>
        <w:tc>
          <w:tcPr>
            <w:tcW w:w="0" w:type="auto"/>
          </w:tcPr>
          <w:p w:rsidR="000A1872" w:rsidRDefault="000A1872" w:rsidP="004A588A">
            <w:pPr>
              <w:pStyle w:val="CeldaEjemplo"/>
            </w:pPr>
            <w:r>
              <w:t>0.27</w:t>
            </w:r>
          </w:p>
        </w:tc>
        <w:tc>
          <w:tcPr>
            <w:tcW w:w="0" w:type="auto"/>
          </w:tcPr>
          <w:p w:rsidR="000A1872" w:rsidRDefault="000A1872" w:rsidP="004A588A">
            <w:pPr>
              <w:pStyle w:val="CeldaEjemplo"/>
            </w:pPr>
            <w:r>
              <w:t>0.22</w:t>
            </w:r>
          </w:p>
        </w:tc>
        <w:tc>
          <w:tcPr>
            <w:tcW w:w="0" w:type="auto"/>
          </w:tcPr>
          <w:p w:rsidR="000A1872" w:rsidRDefault="000A1872" w:rsidP="004A588A">
            <w:pPr>
              <w:pStyle w:val="CeldaEjemplo"/>
            </w:pPr>
            <w:r>
              <w:t>0.18</w:t>
            </w:r>
          </w:p>
        </w:tc>
        <w:tc>
          <w:tcPr>
            <w:tcW w:w="0" w:type="auto"/>
          </w:tcPr>
          <w:p w:rsidR="000A1872" w:rsidRDefault="000A1872" w:rsidP="004A588A">
            <w:pPr>
              <w:pStyle w:val="CeldaEjemplo"/>
            </w:pPr>
            <w:r>
              <w:t>0.15</w:t>
            </w:r>
          </w:p>
        </w:tc>
        <w:tc>
          <w:tcPr>
            <w:tcW w:w="0" w:type="auto"/>
          </w:tcPr>
          <w:p w:rsidR="000A1872" w:rsidRDefault="000A1872" w:rsidP="004A588A">
            <w:pPr>
              <w:pStyle w:val="CeldaEjemplo"/>
            </w:pPr>
            <w:r>
              <w:t>0.13</w:t>
            </w:r>
          </w:p>
        </w:tc>
        <w:tc>
          <w:tcPr>
            <w:tcW w:w="0" w:type="auto"/>
          </w:tcPr>
          <w:p w:rsidR="000A1872" w:rsidRDefault="000A1872" w:rsidP="004A588A">
            <w:pPr>
              <w:pStyle w:val="CeldaEjemplo"/>
            </w:pPr>
            <w:r>
              <w:t>0.12</w:t>
            </w:r>
          </w:p>
        </w:tc>
        <w:tc>
          <w:tcPr>
            <w:tcW w:w="0" w:type="auto"/>
          </w:tcPr>
          <w:p w:rsidR="000A1872" w:rsidRDefault="000A1872" w:rsidP="004A588A">
            <w:pPr>
              <w:pStyle w:val="CeldaEjemplo"/>
            </w:pPr>
            <w:r>
              <w:t>0.13</w:t>
            </w:r>
          </w:p>
        </w:tc>
        <w:tc>
          <w:tcPr>
            <w:tcW w:w="0" w:type="auto"/>
          </w:tcPr>
          <w:p w:rsidR="000A1872" w:rsidRDefault="000A1872" w:rsidP="004A588A">
            <w:pPr>
              <w:pStyle w:val="CeldaEjemplo"/>
            </w:pPr>
            <w:r>
              <w:t>0.15</w:t>
            </w:r>
          </w:p>
        </w:tc>
      </w:tr>
    </w:tbl>
    <w:p w:rsidR="000A1872" w:rsidRDefault="000A1872" w:rsidP="000A1872">
      <w:pPr>
        <w:pStyle w:val="7izenburua"/>
      </w:pPr>
      <w:r>
        <w:t>Resolución:</w:t>
      </w:r>
    </w:p>
    <w:p w:rsidR="000A1872" w:rsidRDefault="000A1872" w:rsidP="000A1872">
      <w:pPr>
        <w:pStyle w:val="TextoIndepEj"/>
      </w:pPr>
      <w:r>
        <w:t xml:space="preserve">Lo más importante de este ejercicio es observar que la función </w:t>
      </w:r>
      <w:r>
        <w:rPr>
          <w:noProof/>
        </w:rPr>
        <w:t>aproximante</w:t>
      </w:r>
      <w:r>
        <w:t xml:space="preserve"> está definida en fo</w:t>
      </w:r>
      <w:r>
        <w:t>r</w:t>
      </w:r>
      <w:r>
        <w:t xml:space="preserve">ma implícita: </w:t>
      </w:r>
      <w:r>
        <w:rPr>
          <w:i/>
          <w:iCs/>
          <w:noProof/>
        </w:rPr>
        <w:t>f</w:t>
      </w:r>
      <w:r>
        <w:rPr>
          <w:vertAlign w:val="subscript"/>
        </w:rPr>
        <w:t> </w:t>
      </w:r>
      <w:r>
        <w:rPr>
          <w:noProof/>
        </w:rPr>
        <w:t>(</w:t>
      </w:r>
      <w:r>
        <w:rPr>
          <w:i/>
          <w:iCs/>
          <w:noProof/>
        </w:rPr>
        <w:t>x</w:t>
      </w:r>
      <w:r>
        <w:rPr>
          <w:noProof/>
        </w:rPr>
        <w:t>,</w:t>
      </w:r>
      <w:r>
        <w:rPr>
          <w:vertAlign w:val="subscript"/>
        </w:rPr>
        <w:t> </w:t>
      </w:r>
      <w:r>
        <w:rPr>
          <w:i/>
          <w:iCs/>
          <w:noProof/>
        </w:rPr>
        <w:t>y</w:t>
      </w:r>
      <w:r w:rsidRPr="00596B63">
        <w:t>,</w:t>
      </w:r>
      <w:r>
        <w:rPr>
          <w:vertAlign w:val="subscript"/>
        </w:rPr>
        <w:t> </w:t>
      </w:r>
      <w:r>
        <w:rPr>
          <w:i/>
          <w:iCs/>
          <w:noProof/>
        </w:rPr>
        <w:t>a</w:t>
      </w:r>
      <w:r w:rsidRPr="00596B63">
        <w:t>,</w:t>
      </w:r>
      <w:r>
        <w:rPr>
          <w:vertAlign w:val="subscript"/>
        </w:rPr>
        <w:t> </w:t>
      </w:r>
      <w:proofErr w:type="gramStart"/>
      <w:r>
        <w:rPr>
          <w:i/>
          <w:iCs/>
          <w:noProof/>
        </w:rPr>
        <w:t>b</w:t>
      </w:r>
      <w:r w:rsidRPr="00596B63">
        <w:t>,</w:t>
      </w:r>
      <w:r>
        <w:rPr>
          <w:noProof/>
        </w:rPr>
        <w:t>...</w:t>
      </w:r>
      <w:proofErr w:type="gramEnd"/>
      <w:r>
        <w:rPr>
          <w:noProof/>
        </w:rPr>
        <w:t>)</w:t>
      </w:r>
      <w:r>
        <w:t> = </w:t>
      </w:r>
      <w:r>
        <w:rPr>
          <w:noProof/>
        </w:rPr>
        <w:t>0</w:t>
      </w:r>
      <w:r>
        <w:t xml:space="preserve"> y no explícita </w:t>
      </w:r>
      <w:r>
        <w:rPr>
          <w:i/>
          <w:iCs/>
          <w:noProof/>
        </w:rPr>
        <w:t>y</w:t>
      </w:r>
      <w:r w:rsidRPr="00596B63">
        <w:t> = </w:t>
      </w:r>
      <w:r>
        <w:rPr>
          <w:i/>
          <w:iCs/>
          <w:noProof/>
        </w:rPr>
        <w:t>f</w:t>
      </w:r>
      <w:r>
        <w:rPr>
          <w:vertAlign w:val="subscript"/>
        </w:rPr>
        <w:t> </w:t>
      </w:r>
      <w:r>
        <w:rPr>
          <w:noProof/>
        </w:rPr>
        <w:t>(</w:t>
      </w:r>
      <w:r>
        <w:rPr>
          <w:i/>
          <w:iCs/>
          <w:noProof/>
        </w:rPr>
        <w:t>x</w:t>
      </w:r>
      <w:r>
        <w:rPr>
          <w:noProof/>
        </w:rPr>
        <w:t>,</w:t>
      </w:r>
      <w:r>
        <w:rPr>
          <w:vertAlign w:val="subscript"/>
        </w:rPr>
        <w:t> </w:t>
      </w:r>
      <w:r>
        <w:rPr>
          <w:i/>
          <w:iCs/>
          <w:noProof/>
        </w:rPr>
        <w:t>y</w:t>
      </w:r>
      <w:r>
        <w:rPr>
          <w:noProof/>
        </w:rPr>
        <w:t>,</w:t>
      </w:r>
      <w:r>
        <w:rPr>
          <w:vertAlign w:val="subscript"/>
        </w:rPr>
        <w:t> </w:t>
      </w:r>
      <w:r>
        <w:rPr>
          <w:i/>
          <w:iCs/>
          <w:noProof/>
        </w:rPr>
        <w:t>c</w:t>
      </w:r>
      <w:r>
        <w:rPr>
          <w:noProof/>
          <w:vertAlign w:val="subscript"/>
        </w:rPr>
        <w:t>1</w:t>
      </w:r>
      <w:r>
        <w:rPr>
          <w:noProof/>
        </w:rPr>
        <w:t>,</w:t>
      </w:r>
      <w:r>
        <w:rPr>
          <w:vertAlign w:val="subscript"/>
        </w:rPr>
        <w:t> </w:t>
      </w:r>
      <w:r>
        <w:rPr>
          <w:i/>
          <w:iCs/>
          <w:noProof/>
        </w:rPr>
        <w:t>c</w:t>
      </w:r>
      <w:r>
        <w:rPr>
          <w:noProof/>
          <w:vertAlign w:val="subscript"/>
        </w:rPr>
        <w:t>2</w:t>
      </w:r>
      <w:r>
        <w:t>,</w:t>
      </w:r>
      <w:r>
        <w:rPr>
          <w:noProof/>
        </w:rPr>
        <w:t>...)</w:t>
      </w:r>
      <w:r>
        <w:t xml:space="preserve"> como hasta ahora había ocurrido. Sin embargo la función sigue siendo lineal en los parámetros (</w:t>
      </w:r>
      <w:r>
        <w:rPr>
          <w:i/>
          <w:iCs/>
        </w:rPr>
        <w:t>a</w:t>
      </w:r>
      <w:r>
        <w:t xml:space="preserve">, </w:t>
      </w:r>
      <w:r>
        <w:rPr>
          <w:i/>
          <w:iCs/>
        </w:rPr>
        <w:t>b</w:t>
      </w:r>
      <w:r>
        <w:t xml:space="preserve">, </w:t>
      </w:r>
      <w:proofErr w:type="gramStart"/>
      <w:r>
        <w:rPr>
          <w:i/>
          <w:iCs/>
        </w:rPr>
        <w:t>c</w:t>
      </w:r>
      <w:r>
        <w:t>...</w:t>
      </w:r>
      <w:proofErr w:type="gramEnd"/>
      <w:r>
        <w:t>) y como veremos, su res</w:t>
      </w:r>
      <w:r>
        <w:t>o</w:t>
      </w:r>
      <w:r>
        <w:t>lución no presenta mayores problemas.</w:t>
      </w:r>
    </w:p>
    <w:p w:rsidR="000A1872" w:rsidRDefault="000A1872" w:rsidP="000A1872">
      <w:pPr>
        <w:pStyle w:val="TextoIndepEj"/>
      </w:pPr>
      <w:r>
        <w:t xml:space="preserve">Efectivamente, basta observar, que si obligamos a las 10 observaciones a verificar la ecuación, obtenemos directamente un sistema </w:t>
      </w:r>
      <w:proofErr w:type="spellStart"/>
      <w:r>
        <w:t>sobredeterminado</w:t>
      </w:r>
      <w:proofErr w:type="spellEnd"/>
      <w:r>
        <w:t xml:space="preserve"> de 10 ecuaciones con 5 incógnitas, que p</w:t>
      </w:r>
      <w:r>
        <w:t>o</w:t>
      </w:r>
      <w:r>
        <w:t xml:space="preserve">dremos resolver aproximadamente a través de la expresión matricial </w:t>
      </w:r>
      <w:r>
        <w:fldChar w:fldCharType="begin"/>
      </w:r>
      <w:r>
        <w:instrText xml:space="preserve"> REF ecnormat \h </w:instrText>
      </w:r>
      <w:r>
        <w:fldChar w:fldCharType="separate"/>
      </w:r>
      <w:r>
        <w:t>(</w:t>
      </w:r>
      <w:r>
        <w:rPr>
          <w:noProof/>
        </w:rPr>
        <w:t>6</w:t>
      </w:r>
      <w:r>
        <w:t>)</w:t>
      </w:r>
      <w:r>
        <w:fldChar w:fldCharType="end"/>
      </w:r>
      <w:r>
        <w:t xml:space="preserve"> del sistema de ecuaci</w:t>
      </w:r>
      <w:r>
        <w:t>o</w:t>
      </w:r>
      <w:r>
        <w:t>nes normales.</w:t>
      </w:r>
    </w:p>
    <w:p w:rsidR="000A1872" w:rsidRDefault="000A1872" w:rsidP="000A1872">
      <w:pPr>
        <w:pStyle w:val="TextoIndepEj"/>
      </w:pPr>
      <w:r>
        <w:t xml:space="preserve">Directamente de la tabla de </w:t>
      </w:r>
      <w:proofErr w:type="gramStart"/>
      <w:r>
        <w:t>observaciones::</w:t>
      </w:r>
      <w:proofErr w:type="gramEnd"/>
    </w:p>
    <w:p w:rsidR="000A1872" w:rsidRDefault="000A1872" w:rsidP="000A1872">
      <w:pPr>
        <w:pStyle w:val="TextoIndepEj"/>
      </w:pPr>
      <w:r>
        <w:tab/>
      </w:r>
      <w:r>
        <w:rPr>
          <w:position w:val="-160"/>
        </w:rPr>
        <w:object w:dxaOrig="7160" w:dyaOrig="3320">
          <v:shape id="_x0000_i1026" type="#_x0000_t75" style="width:358pt;height:166pt" o:ole="">
            <v:imagedata r:id="rId6" o:title=""/>
          </v:shape>
          <o:OLEObject Type="Embed" ProgID="Equation.DSMT4" ShapeID="_x0000_i1026" DrawAspect="Content" ObjectID="_1634361828" r:id="rId7"/>
        </w:object>
      </w:r>
    </w:p>
    <w:p w:rsidR="000A1872" w:rsidRDefault="000A1872" w:rsidP="000A1872">
      <w:pPr>
        <w:pStyle w:val="TextoIndepEj"/>
      </w:pPr>
      <w:r>
        <w:t>Entonces el sistema de ecuaciones normales es:</w:t>
      </w:r>
    </w:p>
    <w:p w:rsidR="000A1872" w:rsidRDefault="000A1872" w:rsidP="000A1872">
      <w:pPr>
        <w:pStyle w:val="TextoIndepEj"/>
      </w:pPr>
      <w:r>
        <w:tab/>
      </w:r>
      <w:r>
        <w:tab/>
      </w:r>
      <w:r>
        <w:rPr>
          <w:position w:val="-78"/>
        </w:rPr>
        <w:object w:dxaOrig="7920" w:dyaOrig="1680">
          <v:shape id="_x0000_i1027" type="#_x0000_t75" style="width:396pt;height:84pt" o:ole="">
            <v:imagedata r:id="rId8" o:title=""/>
          </v:shape>
          <o:OLEObject Type="Embed" ProgID="Equation.DSMT4" ShapeID="_x0000_i1027" DrawAspect="Content" ObjectID="_1634361829" r:id="rId9"/>
        </w:object>
      </w:r>
    </w:p>
    <w:p w:rsidR="000A1872" w:rsidRDefault="000A1872" w:rsidP="000A1872">
      <w:pPr>
        <w:pStyle w:val="TextoIndepEj"/>
      </w:pPr>
      <w:r>
        <w:t>y una vez resuelto, la aproximación a la órbita elíptica queda:</w:t>
      </w:r>
    </w:p>
    <w:p w:rsidR="000A1872" w:rsidRDefault="000A1872" w:rsidP="000A1872">
      <w:pPr>
        <w:pStyle w:val="TextoIndepEj"/>
      </w:pPr>
      <w:r>
        <w:tab/>
      </w:r>
      <w:r>
        <w:tab/>
        <w:t xml:space="preserve"> </w:t>
      </w:r>
      <w:r>
        <w:rPr>
          <w:position w:val="-14"/>
        </w:rPr>
        <w:object w:dxaOrig="5179" w:dyaOrig="440">
          <v:shape id="_x0000_i1028" type="#_x0000_t75" style="width:259pt;height:22pt" o:ole="">
            <v:imagedata r:id="rId10" o:title=""/>
          </v:shape>
          <o:OLEObject Type="Embed" ProgID="Equation.DSMT4" ShapeID="_x0000_i1028" DrawAspect="Content" ObjectID="_1634361830" r:id="rId11"/>
        </w:object>
      </w:r>
    </w:p>
    <w:p w:rsidR="000A1872" w:rsidRDefault="000A1872" w:rsidP="000A1872">
      <w:pPr>
        <w:pStyle w:val="TextoIndepEj"/>
      </w:pPr>
      <w:r>
        <w:t>La representación gráfica se puede ver en la siguiente figura:</w:t>
      </w:r>
    </w:p>
    <w:p w:rsidR="000A1872" w:rsidRPr="00F32869" w:rsidRDefault="000A1872" w:rsidP="000A1872">
      <w:pPr>
        <w:pStyle w:val="TextoIndepEj"/>
      </w:pPr>
      <w:r>
        <w:lastRenderedPageBreak/>
        <w:tab/>
      </w:r>
      <w:r>
        <w:tab/>
      </w:r>
      <w:r>
        <w:rPr>
          <w:noProof/>
          <w:lang w:val="eu-ES" w:eastAsia="eu-ES"/>
        </w:rPr>
        <w:drawing>
          <wp:inline distT="0" distB="0" distL="0" distR="0">
            <wp:extent cx="3293745" cy="2036445"/>
            <wp:effectExtent l="0" t="0" r="1905" b="1905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745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ab/>
      </w:r>
      <w:r>
        <w:tab/>
        <w:t>Figura </w:t>
      </w:r>
      <w:r>
        <w:fldChar w:fldCharType="begin"/>
      </w:r>
      <w:r>
        <w:instrText xml:space="preserve"> SEQ fig \* MERGEFORMAT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:rsidR="000A1872" w:rsidRDefault="000A1872" w:rsidP="000A1872">
      <w:pPr>
        <w:pStyle w:val="TextoIndepEjUlti"/>
      </w:pPr>
      <w:r>
        <w:rPr>
          <w:b/>
          <w:bCs/>
        </w:rPr>
        <w:t>Nota:</w:t>
      </w:r>
      <w:r>
        <w:t xml:space="preserve"> En este ejercicio no se pretende que el alumno dedique su tiempo a calcular y resolver m</w:t>
      </w:r>
      <w:r>
        <w:t>a</w:t>
      </w:r>
      <w:r>
        <w:t>nualmente el sistema de ecuaciones (proceso tedioso y largo por tratarse de 10 observaciones, que se ha resuelto en el ordenador) sino a observar y conocer la argumentación conceptual, para real</w:t>
      </w:r>
      <w:r>
        <w:t>i</w:t>
      </w:r>
      <w:r>
        <w:t>zar el cálculo manual en c</w:t>
      </w:r>
      <w:r>
        <w:t>a</w:t>
      </w:r>
      <w:r>
        <w:t>sos de menos observaciones e incógnitas.</w:t>
      </w:r>
    </w:p>
    <w:p w:rsidR="00FB278A" w:rsidRDefault="00FB278A"/>
    <w:sectPr w:rsidR="00FB27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872"/>
    <w:rsid w:val="000A1872"/>
    <w:rsid w:val="00FB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184E0"/>
  <w15:chartTrackingRefBased/>
  <w15:docId w15:val="{B227F4A8-C170-4BD2-A7D3-E72AE624E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  <w:rsid w:val="000A1872"/>
    <w:pPr>
      <w:spacing w:after="0" w:line="240" w:lineRule="auto"/>
    </w:pPr>
    <w:rPr>
      <w:rFonts w:ascii="Times New Roman" w:eastAsia="Times New Roman" w:hAnsi="Times New Roman" w:cs="Times New Roman"/>
      <w:snapToGrid w:val="0"/>
      <w:color w:val="000000"/>
      <w:sz w:val="24"/>
      <w:szCs w:val="20"/>
      <w:lang w:val="es-ES_tradnl" w:eastAsia="es-ES"/>
    </w:rPr>
  </w:style>
  <w:style w:type="paragraph" w:styleId="7izenburua">
    <w:name w:val="heading 7"/>
    <w:basedOn w:val="Normala"/>
    <w:next w:val="TextoIndepEj"/>
    <w:link w:val="7izenburuaKar"/>
    <w:autoRedefine/>
    <w:qFormat/>
    <w:rsid w:val="000A1872"/>
    <w:pPr>
      <w:keepNext/>
      <w:keepLines/>
      <w:spacing w:before="180" w:after="120"/>
      <w:outlineLvl w:val="6"/>
    </w:pPr>
    <w:rPr>
      <w:b/>
      <w:bCs/>
      <w:sz w:val="22"/>
      <w:szCs w:val="24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character" w:customStyle="1" w:styleId="7izenburuaKar">
    <w:name w:val="7. izenburua Kar"/>
    <w:basedOn w:val="Paragrafoarenletra-tipolehenetsia"/>
    <w:link w:val="7izenburua"/>
    <w:rsid w:val="000A1872"/>
    <w:rPr>
      <w:rFonts w:ascii="Times New Roman" w:eastAsia="Times New Roman" w:hAnsi="Times New Roman" w:cs="Times New Roman"/>
      <w:b/>
      <w:bCs/>
      <w:snapToGrid w:val="0"/>
      <w:color w:val="000000"/>
      <w:szCs w:val="24"/>
      <w:lang w:val="es-ES_tradnl" w:eastAsia="es-ES"/>
    </w:rPr>
  </w:style>
  <w:style w:type="paragraph" w:customStyle="1" w:styleId="TextoIndepEj">
    <w:name w:val="TextoIndepEj"/>
    <w:basedOn w:val="Gorputz-testua"/>
    <w:autoRedefine/>
    <w:rsid w:val="000A1872"/>
    <w:pPr>
      <w:tabs>
        <w:tab w:val="left" w:pos="709"/>
        <w:tab w:val="center" w:pos="4536"/>
        <w:tab w:val="right" w:pos="9071"/>
      </w:tabs>
      <w:spacing w:before="80" w:after="80" w:line="280" w:lineRule="atLeast"/>
      <w:ind w:left="425"/>
      <w:jc w:val="both"/>
    </w:pPr>
    <w:rPr>
      <w:sz w:val="22"/>
      <w:lang w:val="es-ES"/>
    </w:rPr>
  </w:style>
  <w:style w:type="paragraph" w:customStyle="1" w:styleId="CeldaEjemplo">
    <w:name w:val="CeldaEjemplo"/>
    <w:basedOn w:val="Normala"/>
    <w:rsid w:val="000A1872"/>
    <w:pPr>
      <w:keepNext/>
      <w:keepLines/>
      <w:suppressAutoHyphens/>
      <w:jc w:val="center"/>
    </w:pPr>
    <w:rPr>
      <w:noProof/>
      <w:sz w:val="22"/>
      <w:lang w:val="es-ES"/>
    </w:rPr>
  </w:style>
  <w:style w:type="paragraph" w:customStyle="1" w:styleId="CeldaUltiEjemplo">
    <w:name w:val="CeldaUltiEjemplo"/>
    <w:basedOn w:val="Normala"/>
    <w:autoRedefine/>
    <w:rsid w:val="000A1872"/>
    <w:pPr>
      <w:keepLines/>
      <w:suppressAutoHyphens/>
      <w:jc w:val="center"/>
    </w:pPr>
    <w:rPr>
      <w:noProof/>
      <w:sz w:val="22"/>
      <w:lang w:val="es-ES"/>
    </w:rPr>
  </w:style>
  <w:style w:type="paragraph" w:customStyle="1" w:styleId="TextoIndepEjUlti">
    <w:name w:val="TextoIndepEjUlti"/>
    <w:basedOn w:val="TextoIndepEj"/>
    <w:autoRedefine/>
    <w:rsid w:val="000A1872"/>
    <w:pPr>
      <w:pBdr>
        <w:bottom w:val="threeDEmboss" w:sz="24" w:space="1" w:color="auto"/>
      </w:pBdr>
      <w:spacing w:after="300"/>
    </w:pPr>
  </w:style>
  <w:style w:type="paragraph" w:styleId="Gorputz-testua">
    <w:name w:val="Body Text"/>
    <w:basedOn w:val="Normala"/>
    <w:link w:val="Gorputz-testuaKar"/>
    <w:uiPriority w:val="99"/>
    <w:semiHidden/>
    <w:unhideWhenUsed/>
    <w:rsid w:val="000A1872"/>
    <w:pPr>
      <w:spacing w:after="120"/>
    </w:pPr>
  </w:style>
  <w:style w:type="character" w:customStyle="1" w:styleId="Gorputz-testuaKar">
    <w:name w:val="Gorputz-testua Kar"/>
    <w:basedOn w:val="Paragrafoarenletra-tipolehenetsia"/>
    <w:link w:val="Gorputz-testua"/>
    <w:uiPriority w:val="99"/>
    <w:semiHidden/>
    <w:rsid w:val="000A1872"/>
    <w:rPr>
      <w:rFonts w:ascii="Times New Roman" w:eastAsia="Times New Roman" w:hAnsi="Times New Roman" w:cs="Times New Roman"/>
      <w:snapToGrid w:val="0"/>
      <w:color w:val="000000"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>UPV/EHU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GORKA GARATE</dc:creator>
  <cp:keywords/>
  <dc:description/>
  <cp:lastModifiedBy>GORKA GARATE</cp:lastModifiedBy>
  <cp:revision>1</cp:revision>
  <dcterms:created xsi:type="dcterms:W3CDTF">2019-11-04T07:36:00Z</dcterms:created>
  <dcterms:modified xsi:type="dcterms:W3CDTF">2019-11-04T07:37:00Z</dcterms:modified>
</cp:coreProperties>
</file>