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 dua ya Chris, API untuk back office sama E-commerce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 Office (admin)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user untuk dapat melihat user yang 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user referral -&gt; ubah status user referral (approve, pending, denied), kirim email ketika rubah status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user referral -&gt; pendapatan dari hasil referral (dengan konsep komisi dengan customer baru dari referrer 10% dan customer baru yang telah menjadi customer lama menjadi 3%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komisi -&gt; setting komisi 10% dan 3%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produk -&gt; belum ada setting harganya tapi di tabelnya ada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Transaksi -&gt; ubah status transaksi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(delivery by, kode tracking)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 transaksi (tabel filter range tanggal dan status transaksi)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 terbeli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Pembeli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Harga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Pembelian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(cart, pending, success, failed)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 referral user (tabel)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user yang di share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penggunaan kode referral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Pendapatan hasil sharing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(satu JSON per hari, per tahun)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pembeli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referrer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 terjual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 yang paling banyak terbeli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Pendapatan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Ecommerce Website 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User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Pendaftaran User Referral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to cart, setiap produk khusus untuk decorative wall panel dengan memasukkan ukuran panjang x lebar dan picto frame → ketika masih di add to cart status order menjadi “cart”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to checkout → status menjadi pending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Pemilihan ekspedisi (JNE, J&amp;T, dan ekpedisi umum lainnya) bisa pakai api rajaongkir dan dakota untuk pengiriman cargo dengan api di dakotacargo.co.id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detaildengan subtotal harga barang, biaya ongkir, discount dari referral, dan total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Proceed to checkout, payment gateway midtrans -&gt; bila berhasil menjadi transaksi berhasil di bayar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 transaksi dan status transaksi (Confirm, Packaging, kode tracking, delivered)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referral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 referrer dan total pendapatan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Penarikan pendapatan referral (transfer)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