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Lighting Compliance Report</w:t>
      </w:r>
    </w:p>
    <w:p>
      <w:pPr>
        <w:spacing w:after="200"/>
      </w:pPr>
    </w:p>
    <w:p>
      <w:pPr>
        <w:spacing w:after="100"/>
      </w:pPr>
      <w:r>
        <w:rPr>
          <w:b/>
          <w:bCs/>
          <w:sz w:val="24"/>
          <w:szCs w:val="24"/>
        </w:rPr>
        <w:t xml:space="preserve">Vehicle Information</w:t>
      </w:r>
    </w:p>
    <w:p>
      <w:pPr>
        <w:spacing w:after="100"/>
      </w:pPr>
      <w:r>
        <w:t xml:space="preserve">Make / Model: {vehicle-make-model}</w:t>
      </w:r>
    </w:p>
    <w:p>
      <w:pPr>
        <w:spacing w:after="100"/>
      </w:pPr>
      <w:r>
        <w:t xml:space="preserve">Light Source Type: {light-source}</w:t>
      </w:r>
    </w:p>
    <w:p>
      <w:pPr>
        <w:spacing w:after="100"/>
      </w:pPr>
      <w:r>
        <w:t xml:space="preserve">Mounting Height (mm): {mounting-height}</w:t>
      </w:r>
    </w:p>
    <w:p>
      <w:pPr>
        <w:spacing w:after="100"/>
      </w:pPr>
      <w:r>
        <w:t xml:space="preserve">Beam Pattern: {beam-pattern}</w:t>
      </w:r>
    </w:p>
    <w:p>
      <w:pPr>
        <w:spacing w:after="200"/>
      </w:pPr>
    </w:p>
    <w:p>
      <w:pPr>
        <w:spacing w:after="100"/>
      </w:pPr>
      <w:r>
        <w:rPr>
          <w:b/>
          <w:bCs/>
          <w:sz w:val="24"/>
          <w:szCs w:val="24"/>
        </w:rPr>
        <w:t xml:space="preserve">Compliance Assessment</w:t>
      </w:r>
    </w:p>
    <w:p>
      <w:pPr>
        <w:spacing w:after="100"/>
      </w:pPr>
      <w:r>
        <w:t xml:space="preserve">The {light-source} headlamp at mounting height {mounting-height} mm was assessed against UN R48, R123, and EU 2024/1234 requirements. The beam pattern ({beam-pattern}) was evaluated for cutoff sharpness, glare, and horizontal levelling.</w:t>
      </w:r>
    </w:p>
    <w:p>
      <w:pPr>
        <w:spacing w:after="200"/>
      </w:pPr>
    </w:p>
    <w:p>
      <w:pPr>
        <w:spacing w:after="100"/>
      </w:pPr>
      <w:r>
        <w:rPr>
          <w:b/>
          <w:bCs/>
          <w:sz w:val="24"/>
          <w:szCs w:val="24"/>
        </w:rPr>
        <w:t xml:space="preserve">Test Results</w:t>
      </w:r>
    </w:p>
    <w:p>
      <w:pPr>
        <w:spacing w:after="100"/>
      </w:pPr>
      <w:r>
        <w:t xml:space="preserve">Luminous Flux: {luminous-flux} lm</w:t>
      </w:r>
    </w:p>
    <w:p>
      <w:pPr>
        <w:spacing w:after="100"/>
      </w:pPr>
      <w:r>
        <w:t xml:space="preserve">Colour Temperature: {colour-temp} K</w:t>
      </w:r>
    </w:p>
    <w:p>
      <w:pPr>
        <w:spacing w:after="100"/>
      </w:pPr>
      <w:r>
        <w:t xml:space="preserve">Cutoff Sharpness: {cutoff-sharpness}</w:t>
      </w:r>
    </w:p>
    <w:p>
      <w:pPr>
        <w:spacing w:after="100"/>
      </w:pPr>
      <w:r>
        <w:t xml:space="preserve">Horizontal Levelling Deviation: {levelling-deviation} mrad</w:t>
      </w:r>
    </w:p>
    <w:p>
      <w:pPr>
        <w:spacing w:after="200"/>
      </w:pPr>
    </w:p>
    <w:p>
      <w:pPr>
        <w:spacing w:after="100"/>
      </w:pPr>
      <w:r>
        <w:rPr>
          <w:b/>
          <w:bCs/>
          <w:sz w:val="24"/>
          <w:szCs w:val="24"/>
        </w:rPr>
        <w:t xml:space="preserve">Verdict</w:t>
      </w:r>
    </w:p>
    <w:p>
      <w:pPr>
        <w:spacing w:after="100"/>
      </w:pPr>
      <w:r>
        <w:t xml:space="preserve">Overall Result: {verdict}</w:t>
      </w:r>
    </w:p>
    <w:p>
      <w:pPr>
        <w:spacing w:after="100"/>
      </w:pPr>
      <w:r>
        <w:t xml:space="preserve">Certified By: {certifier-name}</w:t>
      </w:r>
    </w:p>
    <w:p>
      <w:pPr>
        <w:spacing w:after="100"/>
      </w:pPr>
      <w:r>
        <w:t xml:space="preserve">Date: {certification-date}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2026-05-10T09:19:29.545Z</dcterms:created>
  <dcterms:modified xsi:type="dcterms:W3CDTF">2026-05-10T09:19:29.552Z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