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Projektplan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1200"/>
        <w:gridCol w:w="1200"/>
        <w:gridCol w:w="1337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Anfang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Ende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Dauer (AT)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Konzept, Recherche &amp; Themeneinreichung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Grobkonzept (GDD) &amp; Projektplanung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Spielgrundlage: Canvas, Gameloop, Eingabe, Zustände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Spielmechanik: Physik, Kollision, Kamera, Levelwelt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27.03.2026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Feinkonzept (GDD) &amp; Visual Concept: Stilguide, Farbe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30.03.2026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Pixel Art: Sprites &amp; UI  +  Designkonzept (GDD)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Wurfmechanik, Sounddesign &amp; Sprite-Integration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Hosting: GitHub Pages, Deployment &amp; Browsertest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Medienkatalog, README &amp; Abgabevorbereitung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21.04.2026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22.04.2026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AT</w:t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AT = Arbeitstag (Mo–Fr). Ostertage (03.04 + 06.04) ausgenommen. GDD = Game Design Document (Grob-, Fein-, Designkonzept). Abweichungen im Arbeitsprotokoll dokumentiert.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2026-03-23T16:27:38.432Z</dcterms:created>
  <dcterms:modified xsi:type="dcterms:W3CDTF">2026-03-23T16:27:38.433Z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