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4"/>
          <w:szCs w:val="44"/>
        </w:rPr>
        <w:t xml:space="preserve">Mini-Project 2</w:t>
      </w:r>
    </w:p>
    <w:p>
      <w:pPr>
        <w:spacing w:after="400"/>
      </w:pPr>
      <w:r>
        <w:rPr>
          <w:rFonts w:ascii="Calibri" w:cs="Calibri" w:eastAsia="Calibri" w:hAnsi="Calibri"/>
          <w:color w:val="555555"/>
          <w:sz w:val="28"/>
          <w:szCs w:val="28"/>
        </w:rPr>
        <w:t xml:space="preserve">Advanced SQL Data Warehouse &amp; Business Analytics</w:t>
      </w:r>
    </w:p>
    <w:p>
      <w:pPr>
        <w:spacing w:after="160"/>
      </w:pPr>
      <w:r>
        <w:rPr>
          <w:rFonts w:ascii="Calibri" w:cs="Calibri" w:eastAsia="Calibri" w:hAnsi="Calibri"/>
          <w:b/>
          <w:bCs/>
          <w:i w:val="false"/>
          <w:iCs w:val="false"/>
          <w:sz w:val="22"/>
          <w:szCs w:val="22"/>
        </w:rPr>
        <w:t xml:space="preserve">Dataset: Central_Superstore.xlsx</w:t>
      </w:r>
    </w:p>
    <w:p>
      <w:pPr>
        <w:spacing w:after="160"/>
      </w:pPr>
      <w:r>
        <w:rPr>
          <w:rFonts w:ascii="Calibri" w:cs="Calibri" w:eastAsia="Calibri" w:hAnsi="Calibri"/>
          <w:b/>
          <w:bCs/>
          <w:i w:val="false"/>
          <w:iCs w:val="false"/>
          <w:sz w:val="22"/>
          <w:szCs w:val="22"/>
        </w:rPr>
        <w:t xml:space="preserve">Tool: Microsoft SQL Server</w:t>
      </w:r>
    </w:p>
    <w:p>
      <w:pPr>
        <w:spacing w:after="160"/>
      </w:pPr>
      <w:r>
        <w:rPr>
          <w:rFonts w:ascii="Calibri" w:cs="Calibri" w:eastAsia="Calibri" w:hAnsi="Calibri"/>
          <w:b/>
          <w:bCs/>
          <w:i w:val="false"/>
          <w:iCs w:val="false"/>
          <w:sz w:val="22"/>
          <w:szCs w:val="22"/>
        </w:rPr>
        <w:t xml:space="preserve">Architecture: Staging → Bronze → Silver → Gold</w:t>
      </w:r>
    </w:p>
    <w:p>
      <w:pPr>
        <w:pStyle w:val="Heading1"/>
        <w:spacing w:after="200" w:before="400"/>
      </w:pPr>
      <w:r>
        <w:t xml:space="preserve">1. Overview</w:t>
      </w:r>
    </w:p>
    <w:p>
      <w:pPr>
        <w:spacing w:after="160"/>
      </w:pPr>
      <w:r>
        <w:rPr>
          <w:rFonts w:ascii="Calibri" w:cs="Calibri" w:eastAsia="Calibri" w:hAnsi="Calibri"/>
          <w:b w:val="false"/>
          <w:bCs w:val="false"/>
          <w:i w:val="false"/>
          <w:iCs w:val="false"/>
          <w:sz w:val="22"/>
          <w:szCs w:val="22"/>
        </w:rPr>
        <w:t xml:space="preserve">For this project I built a small data warehouse around the Central Superstore dataset, going from raw CSV all the way to a star schema I could actually run reports against. I split the process into four layers instead of just loading everything into one table, because I wanted each stage of cleaning to be traceable:</w:t>
      </w:r>
    </w:p>
    <w:p>
      <w:pPr>
        <w:pStyle w:val="ListParagraph"/>
        <w:numPr>
          <w:ilvl w:val="0"/>
          <w:numId w:val="2"/>
        </w:numPr>
        <w:spacing w:after="80"/>
      </w:pPr>
      <w:r>
        <w:rPr>
          <w:rFonts w:ascii="Calibri" w:cs="Calibri" w:eastAsia="Calibri" w:hAnsi="Calibri"/>
          <w:sz w:val="22"/>
          <w:szCs w:val="22"/>
        </w:rPr>
        <w:t xml:space="preserve">Staging — the CSV loaded in exactly as-is, no changes.</w:t>
      </w:r>
    </w:p>
    <w:p>
      <w:pPr>
        <w:pStyle w:val="ListParagraph"/>
        <w:numPr>
          <w:ilvl w:val="0"/>
          <w:numId w:val="2"/>
        </w:numPr>
        <w:spacing w:after="80"/>
      </w:pPr>
      <w:r>
        <w:rPr>
          <w:rFonts w:ascii="Calibri" w:cs="Calibri" w:eastAsia="Calibri" w:hAnsi="Calibri"/>
          <w:sz w:val="22"/>
          <w:szCs w:val="22"/>
        </w:rPr>
        <w:t xml:space="preserve">Bronze — the raw values kept, but with a load timestamp added.</w:t>
      </w:r>
    </w:p>
    <w:p>
      <w:pPr>
        <w:pStyle w:val="ListParagraph"/>
        <w:numPr>
          <w:ilvl w:val="0"/>
          <w:numId w:val="2"/>
        </w:numPr>
        <w:spacing w:after="80"/>
      </w:pPr>
      <w:r>
        <w:rPr>
          <w:rFonts w:ascii="Calibri" w:cs="Calibri" w:eastAsia="Calibri" w:hAnsi="Calibri"/>
          <w:sz w:val="22"/>
          <w:szCs w:val="22"/>
        </w:rPr>
        <w:t xml:space="preserve">Silver — everything cleaned and converted to proper data types, plus three flag columns I added to mark rows with missing, invalid, or outlier values.</w:t>
      </w:r>
    </w:p>
    <w:p>
      <w:pPr>
        <w:pStyle w:val="ListParagraph"/>
        <w:numPr>
          <w:ilvl w:val="0"/>
          <w:numId w:val="2"/>
        </w:numPr>
        <w:spacing w:after="80"/>
      </w:pPr>
      <w:r>
        <w:rPr>
          <w:rFonts w:ascii="Calibri" w:cs="Calibri" w:eastAsia="Calibri" w:hAnsi="Calibri"/>
          <w:sz w:val="22"/>
          <w:szCs w:val="22"/>
        </w:rPr>
        <w:t xml:space="preserve">Gold — the actual star schema: one fact table and five dimension tables, built for reporting.</w:t>
      </w:r>
    </w:p>
    <w:p>
      <w:pPr>
        <w:spacing w:after="160"/>
      </w:pPr>
      <w:r>
        <w:rPr>
          <w:rFonts w:ascii="Calibri" w:cs="Calibri" w:eastAsia="Calibri" w:hAnsi="Calibri"/>
          <w:b w:val="false"/>
          <w:bCs w:val="false"/>
          <w:i w:val="false"/>
          <w:iCs w:val="false"/>
          <w:sz w:val="22"/>
          <w:szCs w:val="22"/>
        </w:rPr>
        <w:t xml:space="preserve">Everything in the analytics, views, and stored procedure sections below queries the gold layer.</w:t>
      </w:r>
    </w:p>
    <w:p>
      <w:pPr>
        <w:pStyle w:val="Heading1"/>
        <w:spacing w:after="200" w:before="400"/>
      </w:pPr>
      <w:r>
        <w:t xml:space="preserve">2. Schema Summary</w:t>
      </w:r>
    </w:p>
    <w:p>
      <w:pPr>
        <w:spacing w:after="160"/>
      </w:pPr>
      <w:r>
        <w:rPr>
          <w:rFonts w:ascii="Calibri" w:cs="Calibri" w:eastAsia="Calibri" w:hAnsi="Calibri"/>
          <w:b w:val="false"/>
          <w:bCs w:val="false"/>
          <w:i w:val="false"/>
          <w:iCs w:val="false"/>
          <w:sz w:val="22"/>
          <w:szCs w:val="22"/>
        </w:rPr>
        <w:t xml:space="preserve">The gold layer is a star schema — gold.FactSales in the middle, connected to five dimension tables through foreign keys.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50"/>
      </w:tblGrid>
      <w:tr>
        <w:tc>
          <w:tcPr>
            <w:tcW w:type="dxa" w:w="2400"/>
            <w:shd w:fill="1F4E78" w:val="clear"/>
          </w:tcPr>
          <w:p>
            <w:r>
              <w:rPr>
                <w:rFonts w:ascii="Calibri" w:cs="Calibri" w:eastAsia="Calibri" w:hAnsi="Calibri"/>
                <w:b/>
                <w:bCs/>
                <w:color w:val="FFFFFF"/>
                <w:sz w:val="20"/>
                <w:szCs w:val="20"/>
              </w:rPr>
              <w:t xml:space="preserve">Table</w:t>
            </w:r>
          </w:p>
        </w:tc>
        <w:tc>
          <w:tcPr>
            <w:tcW w:type="dxa" w:w="1400"/>
            <w:shd w:fill="1F4E78" w:val="clear"/>
          </w:tcPr>
          <w:p>
            <w:r>
              <w:rPr>
                <w:rFonts w:ascii="Calibri" w:cs="Calibri" w:eastAsia="Calibri" w:hAnsi="Calibri"/>
                <w:b/>
                <w:bCs/>
                <w:color w:val="FFFFFF"/>
                <w:sz w:val="20"/>
                <w:szCs w:val="20"/>
              </w:rPr>
              <w:t xml:space="preserve">Role</w:t>
            </w:r>
          </w:p>
        </w:tc>
        <w:tc>
          <w:tcPr>
            <w:tcW w:type="dxa" w:w="5550"/>
            <w:shd w:fill="1F4E78" w:val="clear"/>
          </w:tcPr>
          <w:p>
            <w:r>
              <w:rPr>
                <w:rFonts w:ascii="Calibri" w:cs="Calibri" w:eastAsia="Calibri" w:hAnsi="Calibri"/>
                <w:b/>
                <w:bCs/>
                <w:color w:val="FFFFFF"/>
                <w:sz w:val="20"/>
                <w:szCs w:val="20"/>
              </w:rPr>
              <w:t xml:space="preserve">Key Columns</w:t>
            </w:r>
          </w:p>
        </w:tc>
      </w:tr>
      <w:tr>
        <w:tc>
          <w:tcPr>
            <w:tcW w:type="dxa" w:w="2400"/>
          </w:tcPr>
          <w:p>
            <w:r>
              <w:rPr>
                <w:rFonts w:ascii="Calibri" w:cs="Calibri" w:eastAsia="Calibri" w:hAnsi="Calibri"/>
                <w:b w:val="false"/>
                <w:bCs w:val="false"/>
                <w:sz w:val="20"/>
                <w:szCs w:val="20"/>
              </w:rPr>
              <w:t xml:space="preserve">gold.FactSales</w:t>
            </w:r>
          </w:p>
        </w:tc>
        <w:tc>
          <w:tcPr>
            <w:tcW w:type="dxa" w:w="1400"/>
          </w:tcPr>
          <w:p>
            <w:r>
              <w:rPr>
                <w:rFonts w:ascii="Calibri" w:cs="Calibri" w:eastAsia="Calibri" w:hAnsi="Calibri"/>
                <w:b w:val="false"/>
                <w:bCs w:val="false"/>
                <w:sz w:val="20"/>
                <w:szCs w:val="20"/>
              </w:rPr>
              <w:t xml:space="preserve">Fact</w:t>
            </w:r>
          </w:p>
        </w:tc>
        <w:tc>
          <w:tcPr>
            <w:tcW w:type="dxa" w:w="5550"/>
          </w:tcPr>
          <w:p>
            <w:r>
              <w:rPr>
                <w:rFonts w:ascii="Calibri" w:cs="Calibri" w:eastAsia="Calibri" w:hAnsi="Calibri"/>
                <w:b w:val="false"/>
                <w:bCs w:val="false"/>
                <w:sz w:val="20"/>
                <w:szCs w:val="20"/>
              </w:rPr>
              <w:t xml:space="preserve">Row_ID, Order_ID, CustomerKey (FK), ProductKey (FK), OrderDateKey (FK), ShipDateKey (FK), LocationKey (FK), ShippingKey (FK), Sales, Quantity, Discount, Profit</w:t>
            </w:r>
          </w:p>
        </w:tc>
      </w:tr>
      <w:tr>
        <w:tc>
          <w:tcPr>
            <w:tcW w:type="dxa" w:w="2400"/>
            <w:shd w:fill="F2F2F2" w:val="clear"/>
          </w:tcPr>
          <w:p>
            <w:r>
              <w:rPr>
                <w:rFonts w:ascii="Calibri" w:cs="Calibri" w:eastAsia="Calibri" w:hAnsi="Calibri"/>
                <w:b w:val="false"/>
                <w:bCs w:val="false"/>
                <w:sz w:val="20"/>
                <w:szCs w:val="20"/>
              </w:rPr>
              <w:t xml:space="preserve">gold.DimCustomer</w:t>
            </w:r>
          </w:p>
        </w:tc>
        <w:tc>
          <w:tcPr>
            <w:tcW w:type="dxa" w:w="1400"/>
            <w:shd w:fill="F2F2F2" w:val="clear"/>
          </w:tcPr>
          <w:p>
            <w:r>
              <w:rPr>
                <w:rFonts w:ascii="Calibri" w:cs="Calibri" w:eastAsia="Calibri" w:hAnsi="Calibri"/>
                <w:b w:val="false"/>
                <w:bCs w:val="false"/>
                <w:sz w:val="20"/>
                <w:szCs w:val="20"/>
              </w:rPr>
              <w:t xml:space="preserve">Dimension</w:t>
            </w:r>
          </w:p>
        </w:tc>
        <w:tc>
          <w:tcPr>
            <w:tcW w:type="dxa" w:w="5550"/>
            <w:shd w:fill="F2F2F2" w:val="clear"/>
          </w:tcPr>
          <w:p>
            <w:r>
              <w:rPr>
                <w:rFonts w:ascii="Calibri" w:cs="Calibri" w:eastAsia="Calibri" w:hAnsi="Calibri"/>
                <w:b w:val="false"/>
                <w:bCs w:val="false"/>
                <w:sz w:val="20"/>
                <w:szCs w:val="20"/>
              </w:rPr>
              <w:t xml:space="preserve">CustomerKey (PK), Customer_ID, Customer_Name, Segment</w:t>
            </w:r>
          </w:p>
        </w:tc>
      </w:tr>
      <w:tr>
        <w:tc>
          <w:tcPr>
            <w:tcW w:type="dxa" w:w="2400"/>
          </w:tcPr>
          <w:p>
            <w:r>
              <w:rPr>
                <w:rFonts w:ascii="Calibri" w:cs="Calibri" w:eastAsia="Calibri" w:hAnsi="Calibri"/>
                <w:b w:val="false"/>
                <w:bCs w:val="false"/>
                <w:sz w:val="20"/>
                <w:szCs w:val="20"/>
              </w:rPr>
              <w:t xml:space="preserve">gold.DimProduct</w:t>
            </w:r>
          </w:p>
        </w:tc>
        <w:tc>
          <w:tcPr>
            <w:tcW w:type="dxa" w:w="1400"/>
          </w:tcPr>
          <w:p>
            <w:r>
              <w:rPr>
                <w:rFonts w:ascii="Calibri" w:cs="Calibri" w:eastAsia="Calibri" w:hAnsi="Calibri"/>
                <w:b w:val="false"/>
                <w:bCs w:val="false"/>
                <w:sz w:val="20"/>
                <w:szCs w:val="20"/>
              </w:rPr>
              <w:t xml:space="preserve">Dimension</w:t>
            </w:r>
          </w:p>
        </w:tc>
        <w:tc>
          <w:tcPr>
            <w:tcW w:type="dxa" w:w="5550"/>
          </w:tcPr>
          <w:p>
            <w:r>
              <w:rPr>
                <w:rFonts w:ascii="Calibri" w:cs="Calibri" w:eastAsia="Calibri" w:hAnsi="Calibri"/>
                <w:b w:val="false"/>
                <w:bCs w:val="false"/>
                <w:sz w:val="20"/>
                <w:szCs w:val="20"/>
              </w:rPr>
              <w:t xml:space="preserve">ProductKey (PK), Product_ID, Product_Name, Category, Sub_Category</w:t>
            </w:r>
          </w:p>
        </w:tc>
      </w:tr>
      <w:tr>
        <w:tc>
          <w:tcPr>
            <w:tcW w:type="dxa" w:w="2400"/>
            <w:shd w:fill="F2F2F2" w:val="clear"/>
          </w:tcPr>
          <w:p>
            <w:r>
              <w:rPr>
                <w:rFonts w:ascii="Calibri" w:cs="Calibri" w:eastAsia="Calibri" w:hAnsi="Calibri"/>
                <w:b w:val="false"/>
                <w:bCs w:val="false"/>
                <w:sz w:val="20"/>
                <w:szCs w:val="20"/>
              </w:rPr>
              <w:t xml:space="preserve">gold.DimDate</w:t>
            </w:r>
          </w:p>
        </w:tc>
        <w:tc>
          <w:tcPr>
            <w:tcW w:type="dxa" w:w="1400"/>
            <w:shd w:fill="F2F2F2" w:val="clear"/>
          </w:tcPr>
          <w:p>
            <w:r>
              <w:rPr>
                <w:rFonts w:ascii="Calibri" w:cs="Calibri" w:eastAsia="Calibri" w:hAnsi="Calibri"/>
                <w:b w:val="false"/>
                <w:bCs w:val="false"/>
                <w:sz w:val="20"/>
                <w:szCs w:val="20"/>
              </w:rPr>
              <w:t xml:space="preserve">Dimension</w:t>
            </w:r>
          </w:p>
        </w:tc>
        <w:tc>
          <w:tcPr>
            <w:tcW w:type="dxa" w:w="5550"/>
            <w:shd w:fill="F2F2F2" w:val="clear"/>
          </w:tcPr>
          <w:p>
            <w:r>
              <w:rPr>
                <w:rFonts w:ascii="Calibri" w:cs="Calibri" w:eastAsia="Calibri" w:hAnsi="Calibri"/>
                <w:b w:val="false"/>
                <w:bCs w:val="false"/>
                <w:sz w:val="20"/>
                <w:szCs w:val="20"/>
              </w:rPr>
              <w:t xml:space="preserve">DateKey (PK), FullDate, Year, Quarter, Month, MonthName</w:t>
            </w:r>
          </w:p>
        </w:tc>
      </w:tr>
      <w:tr>
        <w:tc>
          <w:tcPr>
            <w:tcW w:type="dxa" w:w="2400"/>
          </w:tcPr>
          <w:p>
            <w:r>
              <w:rPr>
                <w:rFonts w:ascii="Calibri" w:cs="Calibri" w:eastAsia="Calibri" w:hAnsi="Calibri"/>
                <w:b w:val="false"/>
                <w:bCs w:val="false"/>
                <w:sz w:val="20"/>
                <w:szCs w:val="20"/>
              </w:rPr>
              <w:t xml:space="preserve">gold.DimLocation</w:t>
            </w:r>
          </w:p>
        </w:tc>
        <w:tc>
          <w:tcPr>
            <w:tcW w:type="dxa" w:w="1400"/>
          </w:tcPr>
          <w:p>
            <w:r>
              <w:rPr>
                <w:rFonts w:ascii="Calibri" w:cs="Calibri" w:eastAsia="Calibri" w:hAnsi="Calibri"/>
                <w:b w:val="false"/>
                <w:bCs w:val="false"/>
                <w:sz w:val="20"/>
                <w:szCs w:val="20"/>
              </w:rPr>
              <w:t xml:space="preserve">Dimension</w:t>
            </w:r>
          </w:p>
        </w:tc>
        <w:tc>
          <w:tcPr>
            <w:tcW w:type="dxa" w:w="5550"/>
          </w:tcPr>
          <w:p>
            <w:r>
              <w:rPr>
                <w:rFonts w:ascii="Calibri" w:cs="Calibri" w:eastAsia="Calibri" w:hAnsi="Calibri"/>
                <w:b w:val="false"/>
                <w:bCs w:val="false"/>
                <w:sz w:val="20"/>
                <w:szCs w:val="20"/>
              </w:rPr>
              <w:t xml:space="preserve">LocationKey (PK), Country, City, State, PostalCode, Region</w:t>
            </w:r>
          </w:p>
        </w:tc>
      </w:tr>
      <w:tr>
        <w:tc>
          <w:tcPr>
            <w:tcW w:type="dxa" w:w="2400"/>
            <w:shd w:fill="F2F2F2" w:val="clear"/>
          </w:tcPr>
          <w:p>
            <w:r>
              <w:rPr>
                <w:rFonts w:ascii="Calibri" w:cs="Calibri" w:eastAsia="Calibri" w:hAnsi="Calibri"/>
                <w:b w:val="false"/>
                <w:bCs w:val="false"/>
                <w:sz w:val="20"/>
                <w:szCs w:val="20"/>
              </w:rPr>
              <w:t xml:space="preserve">gold.DimShipping</w:t>
            </w:r>
          </w:p>
        </w:tc>
        <w:tc>
          <w:tcPr>
            <w:tcW w:type="dxa" w:w="1400"/>
            <w:shd w:fill="F2F2F2" w:val="clear"/>
          </w:tcPr>
          <w:p>
            <w:r>
              <w:rPr>
                <w:rFonts w:ascii="Calibri" w:cs="Calibri" w:eastAsia="Calibri" w:hAnsi="Calibri"/>
                <w:b w:val="false"/>
                <w:bCs w:val="false"/>
                <w:sz w:val="20"/>
                <w:szCs w:val="20"/>
              </w:rPr>
              <w:t xml:space="preserve">Dimension</w:t>
            </w:r>
          </w:p>
        </w:tc>
        <w:tc>
          <w:tcPr>
            <w:tcW w:type="dxa" w:w="5550"/>
            <w:shd w:fill="F2F2F2" w:val="clear"/>
          </w:tcPr>
          <w:p>
            <w:r>
              <w:rPr>
                <w:rFonts w:ascii="Calibri" w:cs="Calibri" w:eastAsia="Calibri" w:hAnsi="Calibri"/>
                <w:b w:val="false"/>
                <w:bCs w:val="false"/>
                <w:sz w:val="20"/>
                <w:szCs w:val="20"/>
              </w:rPr>
              <w:t xml:space="preserve">ShippingKey (PK), Ship_Mode</w:t>
            </w:r>
          </w:p>
        </w:tc>
      </w:tr>
    </w:tbl>
    <w:p>
      <w:pPr>
        <w:spacing w:after="200"/>
      </w:pPr>
    </w:p>
    <w:p>
      <w:pPr>
        <w:spacing w:after="160"/>
      </w:pPr>
      <w:r>
        <w:rPr>
          <w:rFonts w:ascii="Calibri" w:cs="Calibri" w:eastAsia="Calibri" w:hAnsi="Calibri"/>
          <w:b w:val="false"/>
          <w:bCs w:val="false"/>
          <w:i w:val="false"/>
          <w:iCs w:val="false"/>
          <w:sz w:val="22"/>
          <w:szCs w:val="22"/>
        </w:rPr>
        <w:t xml:space="preserve">One thing worth flagging: gold.DimProduct's unique constraint covers all four columns (Product_ID, Product_Name, Category, Sub_Category) instead of just Product_ID. I found during validation that a handful of Product_IDs in the source data are tied to more than one product name, so a strict Product_ID-only constraint would have failed on load. I documented the issue with the query below rather than quietly working around it — it's a known limitation I'd fix with more time, not something I missed.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SELECT Product_ID, COUNT(DISTINCT Product_Name) AS ProductNameCount,</w:t>
      </w:r>
      <w:r>
        <w:br/>
      </w:r>
      <w:r>
        <w:rPr>
          <w:rFonts w:ascii="Consolas" w:cs="Consolas" w:eastAsia="Consolas" w:hAnsi="Consolas"/>
          <w:sz w:val="18"/>
          <w:szCs w:val="18"/>
        </w:rPr>
        <w:t xml:space="preserve">       COUNT(DISTINCT Category) AS CategoryCount,</w:t>
      </w:r>
      <w:r>
        <w:br/>
      </w:r>
      <w:r>
        <w:rPr>
          <w:rFonts w:ascii="Consolas" w:cs="Consolas" w:eastAsia="Consolas" w:hAnsi="Consolas"/>
          <w:sz w:val="18"/>
          <w:szCs w:val="18"/>
        </w:rPr>
        <w:t xml:space="preserve">       COUNT(DISTINCT Sub_Category) AS SubCategoryCount</w:t>
      </w:r>
      <w:r>
        <w:br/>
      </w:r>
      <w:r>
        <w:rPr>
          <w:rFonts w:ascii="Consolas" w:cs="Consolas" w:eastAsia="Consolas" w:hAnsi="Consolas"/>
          <w:sz w:val="18"/>
          <w:szCs w:val="18"/>
        </w:rPr>
        <w:t xml:space="preserve">FROM silver.CentralSuperstore</w:t>
      </w:r>
      <w:r>
        <w:br/>
      </w:r>
      <w:r>
        <w:rPr>
          <w:rFonts w:ascii="Consolas" w:cs="Consolas" w:eastAsia="Consolas" w:hAnsi="Consolas"/>
          <w:sz w:val="18"/>
          <w:szCs w:val="18"/>
        </w:rPr>
        <w:t xml:space="preserve">GROUP BY Product_ID</w:t>
      </w:r>
      <w:r>
        <w:br/>
      </w:r>
      <w:r>
        <w:rPr>
          <w:rFonts w:ascii="Consolas" w:cs="Consolas" w:eastAsia="Consolas" w:hAnsi="Consolas"/>
          <w:sz w:val="18"/>
          <w:szCs w:val="18"/>
        </w:rPr>
        <w:t xml:space="preserve">HAVING COUNT(DISTINCT Product_Name) &gt; 1</w:t>
      </w:r>
      <w:r>
        <w:br/>
      </w:r>
      <w:r>
        <w:rPr>
          <w:rFonts w:ascii="Consolas" w:cs="Consolas" w:eastAsia="Consolas" w:hAnsi="Consolas"/>
          <w:sz w:val="18"/>
          <w:szCs w:val="18"/>
        </w:rPr>
        <w:t xml:space="preserve">    OR COUNT(DISTINCT Category) &gt; 1</w:t>
      </w:r>
      <w:r>
        <w:br/>
      </w:r>
      <w:r>
        <w:rPr>
          <w:rFonts w:ascii="Consolas" w:cs="Consolas" w:eastAsia="Consolas" w:hAnsi="Consolas"/>
          <w:sz w:val="18"/>
          <w:szCs w:val="18"/>
        </w:rPr>
        <w:t xml:space="preserve">    OR COUNT(DISTINCT Sub_Category) &gt; 1;</w:t>
      </w:r>
    </w:p>
    <w:p>
      <w:pPr>
        <w:pStyle w:val="Heading1"/>
        <w:spacing w:after="200" w:before="400"/>
      </w:pPr>
      <w:r>
        <w:t xml:space="preserve">3. Mandatory Technical Requirements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50"/>
      </w:tblGrid>
      <w:tr>
        <w:tc>
          <w:tcPr>
            <w:tcW w:type="dxa" w:w="3200"/>
            <w:shd w:fill="1F4E78" w:val="clear"/>
          </w:tcPr>
          <w:p>
            <w:r>
              <w:rPr>
                <w:rFonts w:ascii="Calibri" w:cs="Calibri" w:eastAsia="Calibri" w:hAnsi="Calibri"/>
                <w:b/>
                <w:bCs/>
                <w:color w:val="FFFFFF"/>
                <w:sz w:val="20"/>
                <w:szCs w:val="20"/>
              </w:rPr>
              <w:t xml:space="preserve">Requirement</w:t>
            </w:r>
          </w:p>
        </w:tc>
        <w:tc>
          <w:tcPr>
            <w:tcW w:type="dxa" w:w="1800"/>
            <w:shd w:fill="1F4E78" w:val="clear"/>
          </w:tcPr>
          <w:p>
            <w:r>
              <w:rPr>
                <w:rFonts w:ascii="Calibri" w:cs="Calibri" w:eastAsia="Calibri" w:hAnsi="Calibri"/>
                <w:b/>
                <w:bCs/>
                <w:color w:val="FFFFFF"/>
                <w:sz w:val="20"/>
                <w:szCs w:val="20"/>
              </w:rPr>
              <w:t xml:space="preserve">Minimum</w:t>
            </w:r>
          </w:p>
        </w:tc>
        <w:tc>
          <w:tcPr>
            <w:tcW w:type="dxa" w:w="4350"/>
            <w:shd w:fill="1F4E78" w:val="clear"/>
          </w:tcPr>
          <w:p>
            <w:r>
              <w:rPr>
                <w:rFonts w:ascii="Calibri" w:cs="Calibri" w:eastAsia="Calibri" w:hAnsi="Calibri"/>
                <w:b/>
                <w:bCs/>
                <w:color w:val="FFFFFF"/>
                <w:sz w:val="20"/>
                <w:szCs w:val="20"/>
              </w:rPr>
              <w:t xml:space="preserve">Status</w:t>
            </w:r>
          </w:p>
        </w:tc>
      </w:tr>
      <w:tr>
        <w:tc>
          <w:tcPr>
            <w:tcW w:type="dxa" w:w="3200"/>
          </w:tcPr>
          <w:p>
            <w:r>
              <w:rPr>
                <w:rFonts w:ascii="Calibri" w:cs="Calibri" w:eastAsia="Calibri" w:hAnsi="Calibri"/>
                <w:b w:val="false"/>
                <w:bCs w:val="false"/>
                <w:sz w:val="20"/>
                <w:szCs w:val="20"/>
              </w:rPr>
              <w:t xml:space="preserve">Relational tables</w:t>
            </w:r>
          </w:p>
        </w:tc>
        <w:tc>
          <w:tcPr>
            <w:tcW w:type="dxa" w:w="1800"/>
          </w:tcPr>
          <w:p>
            <w:r>
              <w:rPr>
                <w:rFonts w:ascii="Calibri" w:cs="Calibri" w:eastAsia="Calibri" w:hAnsi="Calibri"/>
                <w:b w:val="false"/>
                <w:bCs w:val="false"/>
                <w:sz w:val="20"/>
                <w:szCs w:val="20"/>
              </w:rPr>
              <w:t xml:space="preserve">Minimum 5</w:t>
            </w:r>
          </w:p>
        </w:tc>
        <w:tc>
          <w:tcPr>
            <w:tcW w:type="dxa" w:w="4350"/>
          </w:tcPr>
          <w:p>
            <w:r>
              <w:rPr>
                <w:rFonts w:ascii="Calibri" w:cs="Calibri" w:eastAsia="Calibri" w:hAnsi="Calibri"/>
                <w:b w:val="false"/>
                <w:bCs w:val="false"/>
                <w:sz w:val="20"/>
                <w:szCs w:val="20"/>
              </w:rPr>
              <w:t xml:space="preserve">Yes (6 in gold layer: 5 dimensions + 1 fact)</w:t>
            </w:r>
          </w:p>
        </w:tc>
      </w:tr>
      <w:tr>
        <w:tc>
          <w:tcPr>
            <w:tcW w:type="dxa" w:w="3200"/>
            <w:shd w:fill="F2F2F2" w:val="clear"/>
          </w:tcPr>
          <w:p>
            <w:r>
              <w:rPr>
                <w:rFonts w:ascii="Calibri" w:cs="Calibri" w:eastAsia="Calibri" w:hAnsi="Calibri"/>
                <w:b w:val="false"/>
                <w:bCs w:val="false"/>
                <w:sz w:val="20"/>
                <w:szCs w:val="20"/>
              </w:rPr>
              <w:t xml:space="preserve">SQL queries submitted</w:t>
            </w:r>
          </w:p>
        </w:tc>
        <w:tc>
          <w:tcPr>
            <w:tcW w:type="dxa" w:w="1800"/>
            <w:shd w:fill="F2F2F2" w:val="clear"/>
          </w:tcPr>
          <w:p>
            <w:r>
              <w:rPr>
                <w:rFonts w:ascii="Calibri" w:cs="Calibri" w:eastAsia="Calibri" w:hAnsi="Calibri"/>
                <w:b w:val="false"/>
                <w:bCs w:val="false"/>
                <w:sz w:val="20"/>
                <w:szCs w:val="20"/>
              </w:rPr>
              <w:t xml:space="preserve">Minimum 15</w:t>
            </w:r>
          </w:p>
        </w:tc>
        <w:tc>
          <w:tcPr>
            <w:tcW w:type="dxa" w:w="4350"/>
            <w:shd w:fill="F2F2F2" w:val="clear"/>
          </w:tcPr>
          <w:p>
            <w:r>
              <w:rPr>
                <w:rFonts w:ascii="Calibri" w:cs="Calibri" w:eastAsia="Calibri" w:hAnsi="Calibri"/>
                <w:b w:val="false"/>
                <w:bCs w:val="false"/>
                <w:sz w:val="20"/>
                <w:szCs w:val="20"/>
              </w:rPr>
              <w:t xml:space="preserve">Yes (15 analytics queries)</w:t>
            </w:r>
          </w:p>
        </w:tc>
      </w:tr>
      <w:tr>
        <w:tc>
          <w:tcPr>
            <w:tcW w:type="dxa" w:w="3200"/>
          </w:tcPr>
          <w:p>
            <w:r>
              <w:rPr>
                <w:rFonts w:ascii="Calibri" w:cs="Calibri" w:eastAsia="Calibri" w:hAnsi="Calibri"/>
                <w:b w:val="false"/>
                <w:bCs w:val="false"/>
                <w:sz w:val="20"/>
                <w:szCs w:val="20"/>
              </w:rPr>
              <w:t xml:space="preserve">JOIN operations used</w:t>
            </w:r>
          </w:p>
        </w:tc>
        <w:tc>
          <w:tcPr>
            <w:tcW w:type="dxa" w:w="1800"/>
          </w:tcPr>
          <w:p>
            <w:r>
              <w:rPr>
                <w:rFonts w:ascii="Calibri" w:cs="Calibri" w:eastAsia="Calibri" w:hAnsi="Calibri"/>
                <w:b w:val="false"/>
                <w:bCs w:val="false"/>
                <w:sz w:val="20"/>
                <w:szCs w:val="20"/>
              </w:rPr>
              <w:t xml:space="preserve">Minimum 3</w:t>
            </w:r>
          </w:p>
        </w:tc>
        <w:tc>
          <w:tcPr>
            <w:tcW w:type="dxa" w:w="4350"/>
          </w:tcPr>
          <w:p>
            <w:r>
              <w:rPr>
                <w:rFonts w:ascii="Calibri" w:cs="Calibri" w:eastAsia="Calibri" w:hAnsi="Calibri"/>
                <w:b w:val="false"/>
                <w:bCs w:val="false"/>
                <w:sz w:val="20"/>
                <w:szCs w:val="20"/>
              </w:rPr>
              <w:t xml:space="preserve">Yes (used throughout)</w:t>
            </w:r>
          </w:p>
        </w:tc>
      </w:tr>
      <w:tr>
        <w:tc>
          <w:tcPr>
            <w:tcW w:type="dxa" w:w="3200"/>
            <w:shd w:fill="F2F2F2" w:val="clear"/>
          </w:tcPr>
          <w:p>
            <w:r>
              <w:rPr>
                <w:rFonts w:ascii="Calibri" w:cs="Calibri" w:eastAsia="Calibri" w:hAnsi="Calibri"/>
                <w:b w:val="false"/>
                <w:bCs w:val="false"/>
                <w:sz w:val="20"/>
                <w:szCs w:val="20"/>
              </w:rPr>
              <w:t xml:space="preserve">CTEs used</w:t>
            </w:r>
          </w:p>
        </w:tc>
        <w:tc>
          <w:tcPr>
            <w:tcW w:type="dxa" w:w="1800"/>
            <w:shd w:fill="F2F2F2" w:val="clear"/>
          </w:tcPr>
          <w:p>
            <w:r>
              <w:rPr>
                <w:rFonts w:ascii="Calibri" w:cs="Calibri" w:eastAsia="Calibri" w:hAnsi="Calibri"/>
                <w:b w:val="false"/>
                <w:bCs w:val="false"/>
                <w:sz w:val="20"/>
                <w:szCs w:val="20"/>
              </w:rPr>
              <w:t xml:space="preserve">Minimum 2</w:t>
            </w:r>
          </w:p>
        </w:tc>
        <w:tc>
          <w:tcPr>
            <w:tcW w:type="dxa" w:w="4350"/>
            <w:shd w:fill="F2F2F2" w:val="clear"/>
          </w:tcPr>
          <w:p>
            <w:r>
              <w:rPr>
                <w:rFonts w:ascii="Calibri" w:cs="Calibri" w:eastAsia="Calibri" w:hAnsi="Calibri"/>
                <w:b w:val="false"/>
                <w:bCs w:val="false"/>
                <w:sz w:val="20"/>
                <w:szCs w:val="20"/>
              </w:rPr>
              <w:t xml:space="preserve">Yes</w:t>
            </w:r>
          </w:p>
        </w:tc>
      </w:tr>
      <w:tr>
        <w:tc>
          <w:tcPr>
            <w:tcW w:type="dxa" w:w="3200"/>
          </w:tcPr>
          <w:p>
            <w:r>
              <w:rPr>
                <w:rFonts w:ascii="Calibri" w:cs="Calibri" w:eastAsia="Calibri" w:hAnsi="Calibri"/>
                <w:b w:val="false"/>
                <w:bCs w:val="false"/>
                <w:sz w:val="20"/>
                <w:szCs w:val="20"/>
              </w:rPr>
              <w:t xml:space="preserve">Stored procedure(s)</w:t>
            </w:r>
          </w:p>
        </w:tc>
        <w:tc>
          <w:tcPr>
            <w:tcW w:type="dxa" w:w="1800"/>
          </w:tcPr>
          <w:p>
            <w:r>
              <w:rPr>
                <w:rFonts w:ascii="Calibri" w:cs="Calibri" w:eastAsia="Calibri" w:hAnsi="Calibri"/>
                <w:b w:val="false"/>
                <w:bCs w:val="false"/>
                <w:sz w:val="20"/>
                <w:szCs w:val="20"/>
              </w:rPr>
              <w:t xml:space="preserve">Minimum 1</w:t>
            </w:r>
          </w:p>
        </w:tc>
        <w:tc>
          <w:tcPr>
            <w:tcW w:type="dxa" w:w="4350"/>
          </w:tcPr>
          <w:p>
            <w:r>
              <w:rPr>
                <w:rFonts w:ascii="Calibri" w:cs="Calibri" w:eastAsia="Calibri" w:hAnsi="Calibri"/>
                <w:b w:val="false"/>
                <w:bCs w:val="false"/>
                <w:sz w:val="20"/>
                <w:szCs w:val="20"/>
              </w:rPr>
              <w:t xml:space="preserve">Yes — gold.usp_SalesKPI</w:t>
            </w:r>
          </w:p>
        </w:tc>
      </w:tr>
      <w:tr>
        <w:tc>
          <w:tcPr>
            <w:tcW w:type="dxa" w:w="3200"/>
            <w:shd w:fill="F2F2F2" w:val="clear"/>
          </w:tcPr>
          <w:p>
            <w:r>
              <w:rPr>
                <w:rFonts w:ascii="Calibri" w:cs="Calibri" w:eastAsia="Calibri" w:hAnsi="Calibri"/>
                <w:b w:val="false"/>
                <w:bCs w:val="false"/>
                <w:sz w:val="20"/>
                <w:szCs w:val="20"/>
              </w:rPr>
              <w:t xml:space="preserve">SQL view(s)</w:t>
            </w:r>
          </w:p>
        </w:tc>
        <w:tc>
          <w:tcPr>
            <w:tcW w:type="dxa" w:w="1800"/>
            <w:shd w:fill="F2F2F2" w:val="clear"/>
          </w:tcPr>
          <w:p>
            <w:r>
              <w:rPr>
                <w:rFonts w:ascii="Calibri" w:cs="Calibri" w:eastAsia="Calibri" w:hAnsi="Calibri"/>
                <w:b w:val="false"/>
                <w:bCs w:val="false"/>
                <w:sz w:val="20"/>
                <w:szCs w:val="20"/>
              </w:rPr>
              <w:t xml:space="preserve">Minimum 1</w:t>
            </w:r>
          </w:p>
        </w:tc>
        <w:tc>
          <w:tcPr>
            <w:tcW w:type="dxa" w:w="4350"/>
            <w:shd w:fill="F2F2F2" w:val="clear"/>
          </w:tcPr>
          <w:p>
            <w:r>
              <w:rPr>
                <w:rFonts w:ascii="Calibri" w:cs="Calibri" w:eastAsia="Calibri" w:hAnsi="Calibri"/>
                <w:b w:val="false"/>
                <w:bCs w:val="false"/>
                <w:sz w:val="20"/>
                <w:szCs w:val="20"/>
              </w:rPr>
              <w:t xml:space="preserve">Yes — gold.vw_SalesPerformance, gold.vw_CategoryKPI</w:t>
            </w:r>
          </w:p>
        </w:tc>
      </w:tr>
      <w:tr>
        <w:tc>
          <w:tcPr>
            <w:tcW w:type="dxa" w:w="3200"/>
          </w:tcPr>
          <w:p>
            <w:r>
              <w:rPr>
                <w:rFonts w:ascii="Calibri" w:cs="Calibri" w:eastAsia="Calibri" w:hAnsi="Calibri"/>
                <w:b w:val="false"/>
                <w:bCs w:val="false"/>
                <w:sz w:val="20"/>
                <w:szCs w:val="20"/>
              </w:rPr>
              <w:t xml:space="preserve">CASE statement(s)</w:t>
            </w:r>
          </w:p>
        </w:tc>
        <w:tc>
          <w:tcPr>
            <w:tcW w:type="dxa" w:w="1800"/>
          </w:tcPr>
          <w:p>
            <w:r>
              <w:rPr>
                <w:rFonts w:ascii="Calibri" w:cs="Calibri" w:eastAsia="Calibri" w:hAnsi="Calibri"/>
                <w:b w:val="false"/>
                <w:bCs w:val="false"/>
                <w:sz w:val="20"/>
                <w:szCs w:val="20"/>
              </w:rPr>
              <w:t xml:space="preserve">At least 1</w:t>
            </w:r>
          </w:p>
        </w:tc>
        <w:tc>
          <w:tcPr>
            <w:tcW w:type="dxa" w:w="4350"/>
          </w:tcPr>
          <w:p>
            <w:r>
              <w:rPr>
                <w:rFonts w:ascii="Calibri" w:cs="Calibri" w:eastAsia="Calibri" w:hAnsi="Calibri"/>
                <w:b w:val="false"/>
                <w:bCs w:val="false"/>
                <w:sz w:val="20"/>
                <w:szCs w:val="20"/>
              </w:rPr>
              <w:t xml:space="preserve">Yes — Query 14, silver data-quality flags</w:t>
            </w:r>
          </w:p>
        </w:tc>
      </w:tr>
      <w:tr>
        <w:tc>
          <w:tcPr>
            <w:tcW w:type="dxa" w:w="3200"/>
            <w:shd w:fill="F2F2F2" w:val="clear"/>
          </w:tcPr>
          <w:p>
            <w:r>
              <w:rPr>
                <w:rFonts w:ascii="Calibri" w:cs="Calibri" w:eastAsia="Calibri" w:hAnsi="Calibri"/>
                <w:b w:val="false"/>
                <w:bCs w:val="false"/>
                <w:sz w:val="20"/>
                <w:szCs w:val="20"/>
              </w:rPr>
              <w:t xml:space="preserve">Subquery(ies)</w:t>
            </w:r>
          </w:p>
        </w:tc>
        <w:tc>
          <w:tcPr>
            <w:tcW w:type="dxa" w:w="1800"/>
            <w:shd w:fill="F2F2F2" w:val="clear"/>
          </w:tcPr>
          <w:p>
            <w:r>
              <w:rPr>
                <w:rFonts w:ascii="Calibri" w:cs="Calibri" w:eastAsia="Calibri" w:hAnsi="Calibri"/>
                <w:b w:val="false"/>
                <w:bCs w:val="false"/>
                <w:sz w:val="20"/>
                <w:szCs w:val="20"/>
              </w:rPr>
              <w:t xml:space="preserve">At least 1</w:t>
            </w:r>
          </w:p>
        </w:tc>
        <w:tc>
          <w:tcPr>
            <w:tcW w:type="dxa" w:w="4350"/>
            <w:shd w:fill="F2F2F2" w:val="clear"/>
          </w:tcPr>
          <w:p>
            <w:r>
              <w:rPr>
                <w:rFonts w:ascii="Calibri" w:cs="Calibri" w:eastAsia="Calibri" w:hAnsi="Calibri"/>
                <w:b w:val="false"/>
                <w:bCs w:val="false"/>
                <w:sz w:val="20"/>
                <w:szCs w:val="20"/>
              </w:rPr>
              <w:t xml:space="preserve">Yes — NOT EXISTS patterns in dimension loads</w:t>
            </w:r>
          </w:p>
        </w:tc>
      </w:tr>
      <w:tr>
        <w:tc>
          <w:tcPr>
            <w:tcW w:type="dxa" w:w="3200"/>
          </w:tcPr>
          <w:p>
            <w:r>
              <w:rPr>
                <w:rFonts w:ascii="Calibri" w:cs="Calibri" w:eastAsia="Calibri" w:hAnsi="Calibri"/>
                <w:b w:val="false"/>
                <w:bCs w:val="false"/>
                <w:sz w:val="20"/>
                <w:szCs w:val="20"/>
              </w:rPr>
              <w:t xml:space="preserve">Primary/foreign keys defined</w:t>
            </w:r>
          </w:p>
        </w:tc>
        <w:tc>
          <w:tcPr>
            <w:tcW w:type="dxa" w:w="1800"/>
          </w:tcPr>
          <w:p>
            <w:r>
              <w:rPr>
                <w:rFonts w:ascii="Calibri" w:cs="Calibri" w:eastAsia="Calibri" w:hAnsi="Calibri"/>
                <w:b w:val="false"/>
                <w:bCs w:val="false"/>
                <w:sz w:val="20"/>
                <w:szCs w:val="20"/>
              </w:rPr>
              <w:t xml:space="preserve">Present</w:t>
            </w:r>
          </w:p>
        </w:tc>
        <w:tc>
          <w:tcPr>
            <w:tcW w:type="dxa" w:w="4350"/>
          </w:tcPr>
          <w:p>
            <w:r>
              <w:rPr>
                <w:rFonts w:ascii="Calibri" w:cs="Calibri" w:eastAsia="Calibri" w:hAnsi="Calibri"/>
                <w:b w:val="false"/>
                <w:bCs w:val="false"/>
                <w:sz w:val="20"/>
                <w:szCs w:val="20"/>
              </w:rPr>
              <w:t xml:space="preserve">Yes — enforced in gold layer</w:t>
            </w:r>
          </w:p>
        </w:tc>
      </w:tr>
      <w:tr>
        <w:tc>
          <w:tcPr>
            <w:tcW w:type="dxa" w:w="3200"/>
            <w:shd w:fill="F2F2F2" w:val="clear"/>
          </w:tcPr>
          <w:p>
            <w:r>
              <w:rPr>
                <w:rFonts w:ascii="Calibri" w:cs="Calibri" w:eastAsia="Calibri" w:hAnsi="Calibri"/>
                <w:b w:val="false"/>
                <w:bCs w:val="false"/>
                <w:sz w:val="20"/>
                <w:szCs w:val="20"/>
              </w:rPr>
              <w:t xml:space="preserve">Star schema (fact + dimensions)</w:t>
            </w:r>
          </w:p>
        </w:tc>
        <w:tc>
          <w:tcPr>
            <w:tcW w:type="dxa" w:w="1800"/>
            <w:shd w:fill="F2F2F2" w:val="clear"/>
          </w:tcPr>
          <w:p>
            <w:r>
              <w:rPr>
                <w:rFonts w:ascii="Calibri" w:cs="Calibri" w:eastAsia="Calibri" w:hAnsi="Calibri"/>
                <w:b w:val="false"/>
                <w:bCs w:val="false"/>
                <w:sz w:val="20"/>
                <w:szCs w:val="20"/>
              </w:rPr>
              <w:t xml:space="preserve">Present</w:t>
            </w:r>
          </w:p>
        </w:tc>
        <w:tc>
          <w:tcPr>
            <w:tcW w:type="dxa" w:w="4350"/>
            <w:shd w:fill="F2F2F2" w:val="clear"/>
          </w:tcPr>
          <w:p>
            <w:r>
              <w:rPr>
                <w:rFonts w:ascii="Calibri" w:cs="Calibri" w:eastAsia="Calibri" w:hAnsi="Calibri"/>
                <w:b w:val="false"/>
                <w:bCs w:val="false"/>
                <w:sz w:val="20"/>
                <w:szCs w:val="20"/>
              </w:rPr>
              <w:t xml:space="preserve">Yes — gold.FactSales + 5 dimension tables</w:t>
            </w:r>
          </w:p>
        </w:tc>
      </w:tr>
    </w:tbl>
    <w:p>
      <w:pPr>
        <w:pStyle w:val="Heading1"/>
        <w:spacing w:after="200" w:before="400"/>
      </w:pPr>
      <w:r>
        <w:t xml:space="preserve">4. Query Inventory</w:t>
      </w:r>
    </w:p>
    <w:p>
      <w:pPr>
        <w:spacing w:after="160"/>
      </w:pPr>
      <w:r>
        <w:rPr>
          <w:rFonts w:ascii="Calibri" w:cs="Calibri" w:eastAsia="Calibri" w:hAnsi="Calibri"/>
          <w:b w:val="false"/>
          <w:bCs w:val="false"/>
          <w:i w:val="false"/>
          <w:iCs w:val="false"/>
          <w:sz w:val="22"/>
          <w:szCs w:val="22"/>
        </w:rPr>
        <w:t xml:space="preserve">Fifteen queries make up the analytics section, covering profitability, customer behavior, and sales trends. Query 2 does double duty — it's also the query I used to test indexing, described in Section 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450"/>
        <w:gridCol w:w="3000"/>
      </w:tblGrid>
      <w:tr>
        <w:tc>
          <w:tcPr>
            <w:tcW w:type="dxa" w:w="900"/>
            <w:shd w:fill="1F4E78" w:val="clear"/>
          </w:tcPr>
          <w:p>
            <w:r>
              <w:rPr>
                <w:rFonts w:ascii="Calibri" w:cs="Calibri" w:eastAsia="Calibri" w:hAnsi="Calibri"/>
                <w:b/>
                <w:bCs/>
                <w:color w:val="FFFFFF"/>
                <w:sz w:val="20"/>
                <w:szCs w:val="20"/>
              </w:rPr>
              <w:t xml:space="preserve">#</w:t>
            </w:r>
          </w:p>
        </w:tc>
        <w:tc>
          <w:tcPr>
            <w:tcW w:type="dxa" w:w="5450"/>
            <w:shd w:fill="1F4E78" w:val="clear"/>
          </w:tcPr>
          <w:p>
            <w:r>
              <w:rPr>
                <w:rFonts w:ascii="Calibri" w:cs="Calibri" w:eastAsia="Calibri" w:hAnsi="Calibri"/>
                <w:b/>
                <w:bCs/>
                <w:color w:val="FFFFFF"/>
                <w:sz w:val="20"/>
                <w:szCs w:val="20"/>
              </w:rPr>
              <w:t xml:space="preserve">Purpose</w:t>
            </w:r>
          </w:p>
        </w:tc>
        <w:tc>
          <w:tcPr>
            <w:tcW w:type="dxa" w:w="3000"/>
            <w:shd w:fill="1F4E78" w:val="clear"/>
          </w:tcPr>
          <w:p>
            <w:r>
              <w:rPr>
                <w:rFonts w:ascii="Calibri" w:cs="Calibri" w:eastAsia="Calibri" w:hAnsi="Calibri"/>
                <w:b/>
                <w:bCs/>
                <w:color w:val="FFFFFF"/>
                <w:sz w:val="20"/>
                <w:szCs w:val="20"/>
              </w:rPr>
              <w:t xml:space="preserve">Primary Technique</w:t>
            </w:r>
          </w:p>
        </w:tc>
      </w:tr>
      <w:tr>
        <w:tc>
          <w:tcPr>
            <w:tcW w:type="dxa" w:w="900"/>
          </w:tcPr>
          <w:p>
            <w:r>
              <w:rPr>
                <w:rFonts w:ascii="Calibri" w:cs="Calibri" w:eastAsia="Calibri" w:hAnsi="Calibri"/>
                <w:b w:val="false"/>
                <w:bCs w:val="false"/>
                <w:sz w:val="20"/>
                <w:szCs w:val="20"/>
              </w:rPr>
              <w:t xml:space="preserve">1</w:t>
            </w:r>
          </w:p>
        </w:tc>
        <w:tc>
          <w:tcPr>
            <w:tcW w:type="dxa" w:w="5450"/>
          </w:tcPr>
          <w:p>
            <w:r>
              <w:rPr>
                <w:rFonts w:ascii="Calibri" w:cs="Calibri" w:eastAsia="Calibri" w:hAnsi="Calibri"/>
                <w:b w:val="false"/>
                <w:bCs w:val="false"/>
                <w:sz w:val="20"/>
                <w:szCs w:val="20"/>
              </w:rPr>
              <w:t xml:space="preserve">Overall business KPIs (total sales, profit, quantity)</w:t>
            </w:r>
          </w:p>
        </w:tc>
        <w:tc>
          <w:tcPr>
            <w:tcW w:type="dxa" w:w="3000"/>
          </w:tcPr>
          <w:p>
            <w:r>
              <w:rPr>
                <w:rFonts w:ascii="Calibri" w:cs="Calibri" w:eastAsia="Calibri" w:hAnsi="Calibri"/>
                <w:b w:val="false"/>
                <w:bCs w:val="false"/>
                <w:sz w:val="20"/>
                <w:szCs w:val="20"/>
              </w:rPr>
              <w:t xml:space="preserve">Aggregation</w:t>
            </w:r>
          </w:p>
        </w:tc>
      </w:tr>
      <w:tr>
        <w:tc>
          <w:tcPr>
            <w:tcW w:type="dxa" w:w="900"/>
            <w:shd w:fill="F2F2F2" w:val="clear"/>
          </w:tcPr>
          <w:p>
            <w:r>
              <w:rPr>
                <w:rFonts w:ascii="Calibri" w:cs="Calibri" w:eastAsia="Calibri" w:hAnsi="Calibri"/>
                <w:b w:val="false"/>
                <w:bCs w:val="false"/>
                <w:sz w:val="20"/>
                <w:szCs w:val="20"/>
              </w:rPr>
              <w:t xml:space="preserve">2</w:t>
            </w:r>
          </w:p>
        </w:tc>
        <w:tc>
          <w:tcPr>
            <w:tcW w:type="dxa" w:w="5450"/>
            <w:shd w:fill="F2F2F2" w:val="clear"/>
          </w:tcPr>
          <w:p>
            <w:r>
              <w:rPr>
                <w:rFonts w:ascii="Calibri" w:cs="Calibri" w:eastAsia="Calibri" w:hAnsi="Calibri"/>
                <w:b w:val="false"/>
                <w:bCs w:val="false"/>
                <w:sz w:val="20"/>
                <w:szCs w:val="20"/>
              </w:rPr>
              <w:t xml:space="preserve">Sales &amp; profit by customer (also used as the optimization test case)</w:t>
            </w:r>
          </w:p>
        </w:tc>
        <w:tc>
          <w:tcPr>
            <w:tcW w:type="dxa" w:w="3000"/>
            <w:shd w:fill="F2F2F2" w:val="clear"/>
          </w:tcPr>
          <w:p>
            <w:r>
              <w:rPr>
                <w:rFonts w:ascii="Calibri" w:cs="Calibri" w:eastAsia="Calibri" w:hAnsi="Calibri"/>
                <w:b w:val="false"/>
                <w:bCs w:val="false"/>
                <w:sz w:val="20"/>
                <w:szCs w:val="20"/>
              </w:rPr>
              <w:t xml:space="preserve">CTE + JOIN</w:t>
            </w:r>
          </w:p>
        </w:tc>
      </w:tr>
      <w:tr>
        <w:tc>
          <w:tcPr>
            <w:tcW w:type="dxa" w:w="900"/>
          </w:tcPr>
          <w:p>
            <w:r>
              <w:rPr>
                <w:rFonts w:ascii="Calibri" w:cs="Calibri" w:eastAsia="Calibri" w:hAnsi="Calibri"/>
                <w:b w:val="false"/>
                <w:bCs w:val="false"/>
                <w:sz w:val="20"/>
                <w:szCs w:val="20"/>
              </w:rPr>
              <w:t xml:space="preserve">3</w:t>
            </w:r>
          </w:p>
        </w:tc>
        <w:tc>
          <w:tcPr>
            <w:tcW w:type="dxa" w:w="5450"/>
          </w:tcPr>
          <w:p>
            <w:r>
              <w:rPr>
                <w:rFonts w:ascii="Calibri" w:cs="Calibri" w:eastAsia="Calibri" w:hAnsi="Calibri"/>
                <w:b w:val="false"/>
                <w:bCs w:val="false"/>
                <w:sz w:val="20"/>
                <w:szCs w:val="20"/>
              </w:rPr>
              <w:t xml:space="preserve">Sales &amp; profit by category</w:t>
            </w:r>
          </w:p>
        </w:tc>
        <w:tc>
          <w:tcPr>
            <w:tcW w:type="dxa" w:w="3000"/>
          </w:tcPr>
          <w:p>
            <w:r>
              <w:rPr>
                <w:rFonts w:ascii="Calibri" w:cs="Calibri" w:eastAsia="Calibri" w:hAnsi="Calibri"/>
                <w:b w:val="false"/>
                <w:bCs w:val="false"/>
                <w:sz w:val="20"/>
                <w:szCs w:val="20"/>
              </w:rPr>
              <w:t xml:space="preserve">JOIN + GROUP BY</w:t>
            </w:r>
          </w:p>
        </w:tc>
      </w:tr>
      <w:tr>
        <w:tc>
          <w:tcPr>
            <w:tcW w:type="dxa" w:w="900"/>
            <w:shd w:fill="F2F2F2" w:val="clear"/>
          </w:tcPr>
          <w:p>
            <w:r>
              <w:rPr>
                <w:rFonts w:ascii="Calibri" w:cs="Calibri" w:eastAsia="Calibri" w:hAnsi="Calibri"/>
                <w:b w:val="false"/>
                <w:bCs w:val="false"/>
                <w:sz w:val="20"/>
                <w:szCs w:val="20"/>
              </w:rPr>
              <w:t xml:space="preserve">4</w:t>
            </w:r>
          </w:p>
        </w:tc>
        <w:tc>
          <w:tcPr>
            <w:tcW w:type="dxa" w:w="5450"/>
            <w:shd w:fill="F2F2F2" w:val="clear"/>
          </w:tcPr>
          <w:p>
            <w:r>
              <w:rPr>
                <w:rFonts w:ascii="Calibri" w:cs="Calibri" w:eastAsia="Calibri" w:hAnsi="Calibri"/>
                <w:b w:val="false"/>
                <w:bCs w:val="false"/>
                <w:sz w:val="20"/>
                <w:szCs w:val="20"/>
              </w:rPr>
              <w:t xml:space="preserve">Profit by customer segment</w:t>
            </w:r>
          </w:p>
        </w:tc>
        <w:tc>
          <w:tcPr>
            <w:tcW w:type="dxa" w:w="3000"/>
            <w:shd w:fill="F2F2F2" w:val="clear"/>
          </w:tcPr>
          <w:p>
            <w:r>
              <w:rPr>
                <w:rFonts w:ascii="Calibri" w:cs="Calibri" w:eastAsia="Calibri" w:hAnsi="Calibri"/>
                <w:b w:val="false"/>
                <w:bCs w:val="false"/>
                <w:sz w:val="20"/>
                <w:szCs w:val="20"/>
              </w:rPr>
              <w:t xml:space="preserve">JOIN + GROUP BY</w:t>
            </w:r>
          </w:p>
        </w:tc>
      </w:tr>
      <w:tr>
        <w:tc>
          <w:tcPr>
            <w:tcW w:type="dxa" w:w="900"/>
          </w:tcPr>
          <w:p>
            <w:r>
              <w:rPr>
                <w:rFonts w:ascii="Calibri" w:cs="Calibri" w:eastAsia="Calibri" w:hAnsi="Calibri"/>
                <w:b w:val="false"/>
                <w:bCs w:val="false"/>
                <w:sz w:val="20"/>
                <w:szCs w:val="20"/>
              </w:rPr>
              <w:t xml:space="preserve">5</w:t>
            </w:r>
          </w:p>
        </w:tc>
        <w:tc>
          <w:tcPr>
            <w:tcW w:type="dxa" w:w="5450"/>
          </w:tcPr>
          <w:p>
            <w:r>
              <w:rPr>
                <w:rFonts w:ascii="Calibri" w:cs="Calibri" w:eastAsia="Calibri" w:hAnsi="Calibri"/>
                <w:b w:val="false"/>
                <w:bCs w:val="false"/>
                <w:sz w:val="20"/>
                <w:szCs w:val="20"/>
              </w:rPr>
              <w:t xml:space="preserve">Monthly sales trend</w:t>
            </w:r>
          </w:p>
        </w:tc>
        <w:tc>
          <w:tcPr>
            <w:tcW w:type="dxa" w:w="3000"/>
          </w:tcPr>
          <w:p>
            <w:r>
              <w:rPr>
                <w:rFonts w:ascii="Calibri" w:cs="Calibri" w:eastAsia="Calibri" w:hAnsi="Calibri"/>
                <w:b w:val="false"/>
                <w:bCs w:val="false"/>
                <w:sz w:val="20"/>
                <w:szCs w:val="20"/>
              </w:rPr>
              <w:t xml:space="preserve">JOIN + GROUP BY</w:t>
            </w:r>
          </w:p>
        </w:tc>
      </w:tr>
      <w:tr>
        <w:tc>
          <w:tcPr>
            <w:tcW w:type="dxa" w:w="900"/>
            <w:shd w:fill="F2F2F2" w:val="clear"/>
          </w:tcPr>
          <w:p>
            <w:r>
              <w:rPr>
                <w:rFonts w:ascii="Calibri" w:cs="Calibri" w:eastAsia="Calibri" w:hAnsi="Calibri"/>
                <w:b w:val="false"/>
                <w:bCs w:val="false"/>
                <w:sz w:val="20"/>
                <w:szCs w:val="20"/>
              </w:rPr>
              <w:t xml:space="preserve">6</w:t>
            </w:r>
          </w:p>
        </w:tc>
        <w:tc>
          <w:tcPr>
            <w:tcW w:type="dxa" w:w="5450"/>
            <w:shd w:fill="F2F2F2" w:val="clear"/>
          </w:tcPr>
          <w:p>
            <w:r>
              <w:rPr>
                <w:rFonts w:ascii="Calibri" w:cs="Calibri" w:eastAsia="Calibri" w:hAnsi="Calibri"/>
                <w:b w:val="false"/>
                <w:bCs w:val="false"/>
                <w:sz w:val="20"/>
                <w:szCs w:val="20"/>
              </w:rPr>
              <w:t xml:space="preserve">Sales &amp; profit by sub-category</w:t>
            </w:r>
          </w:p>
        </w:tc>
        <w:tc>
          <w:tcPr>
            <w:tcW w:type="dxa" w:w="3000"/>
            <w:shd w:fill="F2F2F2" w:val="clear"/>
          </w:tcPr>
          <w:p>
            <w:r>
              <w:rPr>
                <w:rFonts w:ascii="Calibri" w:cs="Calibri" w:eastAsia="Calibri" w:hAnsi="Calibri"/>
                <w:b w:val="false"/>
                <w:bCs w:val="false"/>
                <w:sz w:val="20"/>
                <w:szCs w:val="20"/>
              </w:rPr>
              <w:t xml:space="preserve">JOIN + GROUP BY</w:t>
            </w:r>
          </w:p>
        </w:tc>
      </w:tr>
      <w:tr>
        <w:tc>
          <w:tcPr>
            <w:tcW w:type="dxa" w:w="900"/>
          </w:tcPr>
          <w:p>
            <w:r>
              <w:rPr>
                <w:rFonts w:ascii="Calibri" w:cs="Calibri" w:eastAsia="Calibri" w:hAnsi="Calibri"/>
                <w:b w:val="false"/>
                <w:bCs w:val="false"/>
                <w:sz w:val="20"/>
                <w:szCs w:val="20"/>
              </w:rPr>
              <w:t xml:space="preserve">7</w:t>
            </w:r>
          </w:p>
        </w:tc>
        <w:tc>
          <w:tcPr>
            <w:tcW w:type="dxa" w:w="5450"/>
          </w:tcPr>
          <w:p>
            <w:r>
              <w:rPr>
                <w:rFonts w:ascii="Calibri" w:cs="Calibri" w:eastAsia="Calibri" w:hAnsi="Calibri"/>
                <w:b w:val="false"/>
                <w:bCs w:val="false"/>
                <w:sz w:val="20"/>
                <w:szCs w:val="20"/>
              </w:rPr>
              <w:t xml:space="preserve">Top loss-making products</w:t>
            </w:r>
          </w:p>
        </w:tc>
        <w:tc>
          <w:tcPr>
            <w:tcW w:type="dxa" w:w="3000"/>
          </w:tcPr>
          <w:p>
            <w:r>
              <w:rPr>
                <w:rFonts w:ascii="Calibri" w:cs="Calibri" w:eastAsia="Calibri" w:hAnsi="Calibri"/>
                <w:b w:val="false"/>
                <w:bCs w:val="false"/>
                <w:sz w:val="20"/>
                <w:szCs w:val="20"/>
              </w:rPr>
              <w:t xml:space="preserve">JOIN + HAVING + TOP</w:t>
            </w:r>
          </w:p>
        </w:tc>
      </w:tr>
      <w:tr>
        <w:tc>
          <w:tcPr>
            <w:tcW w:type="dxa" w:w="900"/>
            <w:shd w:fill="F2F2F2" w:val="clear"/>
          </w:tcPr>
          <w:p>
            <w:r>
              <w:rPr>
                <w:rFonts w:ascii="Calibri" w:cs="Calibri" w:eastAsia="Calibri" w:hAnsi="Calibri"/>
                <w:b w:val="false"/>
                <w:bCs w:val="false"/>
                <w:sz w:val="20"/>
                <w:szCs w:val="20"/>
              </w:rPr>
              <w:t xml:space="preserve">8</w:t>
            </w:r>
          </w:p>
        </w:tc>
        <w:tc>
          <w:tcPr>
            <w:tcW w:type="dxa" w:w="5450"/>
            <w:shd w:fill="F2F2F2" w:val="clear"/>
          </w:tcPr>
          <w:p>
            <w:r>
              <w:rPr>
                <w:rFonts w:ascii="Calibri" w:cs="Calibri" w:eastAsia="Calibri" w:hAnsi="Calibri"/>
                <w:b w:val="false"/>
                <w:bCs w:val="false"/>
                <w:sz w:val="20"/>
                <w:szCs w:val="20"/>
              </w:rPr>
              <w:t xml:space="preserve">Discount vs. profit relationship</w:t>
            </w:r>
          </w:p>
        </w:tc>
        <w:tc>
          <w:tcPr>
            <w:tcW w:type="dxa" w:w="3000"/>
            <w:shd w:fill="F2F2F2" w:val="clear"/>
          </w:tcPr>
          <w:p>
            <w:r>
              <w:rPr>
                <w:rFonts w:ascii="Calibri" w:cs="Calibri" w:eastAsia="Calibri" w:hAnsi="Calibri"/>
                <w:b w:val="false"/>
                <w:bCs w:val="false"/>
                <w:sz w:val="20"/>
                <w:szCs w:val="20"/>
              </w:rPr>
              <w:t xml:space="preserve">GROUP BY + Aggregation</w:t>
            </w:r>
          </w:p>
        </w:tc>
      </w:tr>
      <w:tr>
        <w:tc>
          <w:tcPr>
            <w:tcW w:type="dxa" w:w="900"/>
          </w:tcPr>
          <w:p>
            <w:r>
              <w:rPr>
                <w:rFonts w:ascii="Calibri" w:cs="Calibri" w:eastAsia="Calibri" w:hAnsi="Calibri"/>
                <w:b w:val="false"/>
                <w:bCs w:val="false"/>
                <w:sz w:val="20"/>
                <w:szCs w:val="20"/>
              </w:rPr>
              <w:t xml:space="preserve">9</w:t>
            </w:r>
          </w:p>
        </w:tc>
        <w:tc>
          <w:tcPr>
            <w:tcW w:type="dxa" w:w="5450"/>
          </w:tcPr>
          <w:p>
            <w:r>
              <w:rPr>
                <w:rFonts w:ascii="Calibri" w:cs="Calibri" w:eastAsia="Calibri" w:hAnsi="Calibri"/>
                <w:b w:val="false"/>
                <w:bCs w:val="false"/>
                <w:sz w:val="20"/>
                <w:szCs w:val="20"/>
              </w:rPr>
              <w:t xml:space="preserve">Profit margin by category</w:t>
            </w:r>
          </w:p>
        </w:tc>
        <w:tc>
          <w:tcPr>
            <w:tcW w:type="dxa" w:w="3000"/>
          </w:tcPr>
          <w:p>
            <w:r>
              <w:rPr>
                <w:rFonts w:ascii="Calibri" w:cs="Calibri" w:eastAsia="Calibri" w:hAnsi="Calibri"/>
                <w:b w:val="false"/>
                <w:bCs w:val="false"/>
                <w:sz w:val="20"/>
                <w:szCs w:val="20"/>
              </w:rPr>
              <w:t xml:space="preserve">JOIN + Calculated field</w:t>
            </w:r>
          </w:p>
        </w:tc>
      </w:tr>
      <w:tr>
        <w:tc>
          <w:tcPr>
            <w:tcW w:type="dxa" w:w="900"/>
            <w:shd w:fill="F2F2F2" w:val="clear"/>
          </w:tcPr>
          <w:p>
            <w:r>
              <w:rPr>
                <w:rFonts w:ascii="Calibri" w:cs="Calibri" w:eastAsia="Calibri" w:hAnsi="Calibri"/>
                <w:b w:val="false"/>
                <w:bCs w:val="false"/>
                <w:sz w:val="20"/>
                <w:szCs w:val="20"/>
              </w:rPr>
              <w:t xml:space="preserve">10</w:t>
            </w:r>
          </w:p>
        </w:tc>
        <w:tc>
          <w:tcPr>
            <w:tcW w:type="dxa" w:w="5450"/>
            <w:shd w:fill="F2F2F2" w:val="clear"/>
          </w:tcPr>
          <w:p>
            <w:r>
              <w:rPr>
                <w:rFonts w:ascii="Calibri" w:cs="Calibri" w:eastAsia="Calibri" w:hAnsi="Calibri"/>
                <w:b w:val="false"/>
                <w:bCs w:val="false"/>
                <w:sz w:val="20"/>
                <w:szCs w:val="20"/>
              </w:rPr>
              <w:t xml:space="preserve">Sales &amp; profit by year</w:t>
            </w:r>
          </w:p>
        </w:tc>
        <w:tc>
          <w:tcPr>
            <w:tcW w:type="dxa" w:w="3000"/>
            <w:shd w:fill="F2F2F2" w:val="clear"/>
          </w:tcPr>
          <w:p>
            <w:r>
              <w:rPr>
                <w:rFonts w:ascii="Calibri" w:cs="Calibri" w:eastAsia="Calibri" w:hAnsi="Calibri"/>
                <w:b w:val="false"/>
                <w:bCs w:val="false"/>
                <w:sz w:val="20"/>
                <w:szCs w:val="20"/>
              </w:rPr>
              <w:t xml:space="preserve">JOIN + GROUP BY</w:t>
            </w:r>
          </w:p>
        </w:tc>
      </w:tr>
      <w:tr>
        <w:tc>
          <w:tcPr>
            <w:tcW w:type="dxa" w:w="900"/>
          </w:tcPr>
          <w:p>
            <w:r>
              <w:rPr>
                <w:rFonts w:ascii="Calibri" w:cs="Calibri" w:eastAsia="Calibri" w:hAnsi="Calibri"/>
                <w:b w:val="false"/>
                <w:bCs w:val="false"/>
                <w:sz w:val="20"/>
                <w:szCs w:val="20"/>
              </w:rPr>
              <w:t xml:space="preserve">11</w:t>
            </w:r>
          </w:p>
        </w:tc>
        <w:tc>
          <w:tcPr>
            <w:tcW w:type="dxa" w:w="5450"/>
          </w:tcPr>
          <w:p>
            <w:r>
              <w:rPr>
                <w:rFonts w:ascii="Calibri" w:cs="Calibri" w:eastAsia="Calibri" w:hAnsi="Calibri"/>
                <w:b w:val="false"/>
                <w:bCs w:val="false"/>
                <w:sz w:val="20"/>
                <w:szCs w:val="20"/>
              </w:rPr>
              <w:t xml:space="preserve">Yearly profit margin</w:t>
            </w:r>
          </w:p>
        </w:tc>
        <w:tc>
          <w:tcPr>
            <w:tcW w:type="dxa" w:w="3000"/>
          </w:tcPr>
          <w:p>
            <w:r>
              <w:rPr>
                <w:rFonts w:ascii="Calibri" w:cs="Calibri" w:eastAsia="Calibri" w:hAnsi="Calibri"/>
                <w:b w:val="false"/>
                <w:bCs w:val="false"/>
                <w:sz w:val="20"/>
                <w:szCs w:val="20"/>
              </w:rPr>
              <w:t xml:space="preserve">JOIN + Calculated field</w:t>
            </w:r>
          </w:p>
        </w:tc>
      </w:tr>
      <w:tr>
        <w:tc>
          <w:tcPr>
            <w:tcW w:type="dxa" w:w="900"/>
            <w:shd w:fill="F2F2F2" w:val="clear"/>
          </w:tcPr>
          <w:p>
            <w:r>
              <w:rPr>
                <w:rFonts w:ascii="Calibri" w:cs="Calibri" w:eastAsia="Calibri" w:hAnsi="Calibri"/>
                <w:b w:val="false"/>
                <w:bCs w:val="false"/>
                <w:sz w:val="20"/>
                <w:szCs w:val="20"/>
              </w:rPr>
              <w:t xml:space="preserve">12</w:t>
            </w:r>
          </w:p>
        </w:tc>
        <w:tc>
          <w:tcPr>
            <w:tcW w:type="dxa" w:w="5450"/>
            <w:shd w:fill="F2F2F2" w:val="clear"/>
          </w:tcPr>
          <w:p>
            <w:r>
              <w:rPr>
                <w:rFonts w:ascii="Calibri" w:cs="Calibri" w:eastAsia="Calibri" w:hAnsi="Calibri"/>
                <w:b w:val="false"/>
                <w:bCs w:val="false"/>
                <w:sz w:val="20"/>
                <w:szCs w:val="20"/>
              </w:rPr>
              <w:t xml:space="preserve">Discount trend by year</w:t>
            </w:r>
          </w:p>
        </w:tc>
        <w:tc>
          <w:tcPr>
            <w:tcW w:type="dxa" w:w="3000"/>
            <w:shd w:fill="F2F2F2" w:val="clear"/>
          </w:tcPr>
          <w:p>
            <w:r>
              <w:rPr>
                <w:rFonts w:ascii="Calibri" w:cs="Calibri" w:eastAsia="Calibri" w:hAnsi="Calibri"/>
                <w:b w:val="false"/>
                <w:bCs w:val="false"/>
                <w:sz w:val="20"/>
                <w:szCs w:val="20"/>
              </w:rPr>
              <w:t xml:space="preserve">JOIN + GROUP BY</w:t>
            </w:r>
          </w:p>
        </w:tc>
      </w:tr>
      <w:tr>
        <w:tc>
          <w:tcPr>
            <w:tcW w:type="dxa" w:w="900"/>
          </w:tcPr>
          <w:p>
            <w:r>
              <w:rPr>
                <w:rFonts w:ascii="Calibri" w:cs="Calibri" w:eastAsia="Calibri" w:hAnsi="Calibri"/>
                <w:b w:val="false"/>
                <w:bCs w:val="false"/>
                <w:sz w:val="20"/>
                <w:szCs w:val="20"/>
              </w:rPr>
              <w:t xml:space="preserve">13</w:t>
            </w:r>
          </w:p>
        </w:tc>
        <w:tc>
          <w:tcPr>
            <w:tcW w:type="dxa" w:w="5450"/>
          </w:tcPr>
          <w:p>
            <w:r>
              <w:rPr>
                <w:rFonts w:ascii="Calibri" w:cs="Calibri" w:eastAsia="Calibri" w:hAnsi="Calibri"/>
                <w:b w:val="false"/>
                <w:bCs w:val="false"/>
                <w:sz w:val="20"/>
                <w:szCs w:val="20"/>
              </w:rPr>
              <w:t xml:space="preserve">Customers with high sales but negative profit</w:t>
            </w:r>
          </w:p>
        </w:tc>
        <w:tc>
          <w:tcPr>
            <w:tcW w:type="dxa" w:w="3000"/>
          </w:tcPr>
          <w:p>
            <w:r>
              <w:rPr>
                <w:rFonts w:ascii="Calibri" w:cs="Calibri" w:eastAsia="Calibri" w:hAnsi="Calibri"/>
                <w:b w:val="false"/>
                <w:bCs w:val="false"/>
                <w:sz w:val="20"/>
                <w:szCs w:val="20"/>
              </w:rPr>
              <w:t xml:space="preserve">JOIN + HAVING</w:t>
            </w:r>
          </w:p>
        </w:tc>
      </w:tr>
      <w:tr>
        <w:tc>
          <w:tcPr>
            <w:tcW w:type="dxa" w:w="900"/>
            <w:shd w:fill="F2F2F2" w:val="clear"/>
          </w:tcPr>
          <w:p>
            <w:r>
              <w:rPr>
                <w:rFonts w:ascii="Calibri" w:cs="Calibri" w:eastAsia="Calibri" w:hAnsi="Calibri"/>
                <w:b w:val="false"/>
                <w:bCs w:val="false"/>
                <w:sz w:val="20"/>
                <w:szCs w:val="20"/>
              </w:rPr>
              <w:t xml:space="preserve">14</w:t>
            </w:r>
          </w:p>
        </w:tc>
        <w:tc>
          <w:tcPr>
            <w:tcW w:type="dxa" w:w="5450"/>
            <w:shd w:fill="F2F2F2" w:val="clear"/>
          </w:tcPr>
          <w:p>
            <w:r>
              <w:rPr>
                <w:rFonts w:ascii="Calibri" w:cs="Calibri" w:eastAsia="Calibri" w:hAnsi="Calibri"/>
                <w:b w:val="false"/>
                <w:bCs w:val="false"/>
                <w:sz w:val="20"/>
                <w:szCs w:val="20"/>
              </w:rPr>
              <w:t xml:space="preserve">Discount level classification</w:t>
            </w:r>
          </w:p>
        </w:tc>
        <w:tc>
          <w:tcPr>
            <w:tcW w:type="dxa" w:w="3000"/>
            <w:shd w:fill="F2F2F2" w:val="clear"/>
          </w:tcPr>
          <w:p>
            <w:r>
              <w:rPr>
                <w:rFonts w:ascii="Calibri" w:cs="Calibri" w:eastAsia="Calibri" w:hAnsi="Calibri"/>
                <w:b w:val="false"/>
                <w:bCs w:val="false"/>
                <w:sz w:val="20"/>
                <w:szCs w:val="20"/>
              </w:rPr>
              <w:t xml:space="preserve">CASE + GROUP BY</w:t>
            </w:r>
          </w:p>
        </w:tc>
      </w:tr>
      <w:tr>
        <w:tc>
          <w:tcPr>
            <w:tcW w:type="dxa" w:w="900"/>
          </w:tcPr>
          <w:p>
            <w:r>
              <w:rPr>
                <w:rFonts w:ascii="Calibri" w:cs="Calibri" w:eastAsia="Calibri" w:hAnsi="Calibri"/>
                <w:b w:val="false"/>
                <w:bCs w:val="false"/>
                <w:sz w:val="20"/>
                <w:szCs w:val="20"/>
              </w:rPr>
              <w:t xml:space="preserve">15</w:t>
            </w:r>
          </w:p>
        </w:tc>
        <w:tc>
          <w:tcPr>
            <w:tcW w:type="dxa" w:w="5450"/>
          </w:tcPr>
          <w:p>
            <w:r>
              <w:rPr>
                <w:rFonts w:ascii="Calibri" w:cs="Calibri" w:eastAsia="Calibri" w:hAnsi="Calibri"/>
                <w:b w:val="false"/>
                <w:bCs w:val="false"/>
                <w:sz w:val="20"/>
                <w:szCs w:val="20"/>
              </w:rPr>
              <w:t xml:space="preserve">Top customers by profit margin</w:t>
            </w:r>
          </w:p>
        </w:tc>
        <w:tc>
          <w:tcPr>
            <w:tcW w:type="dxa" w:w="3000"/>
          </w:tcPr>
          <w:p>
            <w:r>
              <w:rPr>
                <w:rFonts w:ascii="Calibri" w:cs="Calibri" w:eastAsia="Calibri" w:hAnsi="Calibri"/>
                <w:b w:val="false"/>
                <w:bCs w:val="false"/>
                <w:sz w:val="20"/>
                <w:szCs w:val="20"/>
              </w:rPr>
              <w:t xml:space="preserve">JOIN + HAVING + TOP</w:t>
            </w:r>
          </w:p>
        </w:tc>
      </w:tr>
    </w:tbl>
    <w:p>
      <w:pPr>
        <w:pStyle w:val="Heading1"/>
        <w:spacing w:after="200" w:before="400"/>
      </w:pPr>
      <w:r>
        <w:t xml:space="preserve">5. Business Analytics &amp; Insights</w:t>
      </w:r>
    </w:p>
    <w:p>
      <w:pPr>
        <w:pStyle w:val="Heading2"/>
        <w:spacing w:after="150" w:before="300"/>
      </w:pPr>
      <w:r>
        <w:t xml:space="preserve">5.1 Overall Business Performance</w:t>
      </w:r>
    </w:p>
    <w:p>
      <w:pPr>
        <w:spacing w:after="160"/>
      </w:pPr>
      <w:r>
        <w:rPr>
          <w:rFonts w:ascii="Calibri" w:cs="Calibri" w:eastAsia="Calibri" w:hAnsi="Calibri"/>
          <w:b w:val="false"/>
          <w:bCs w:val="false"/>
          <w:i w:val="false"/>
          <w:iCs w:val="false"/>
          <w:sz w:val="22"/>
          <w:szCs w:val="22"/>
        </w:rPr>
        <w:t xml:space="preserve">Across the whole dataset, total sales came to 501,239.89 and total profit to 39,706.36, from 8,780 units sold. So the business is profitable overall — but that number hides a lot of variation once you break it down by category, customer, and year.</w:t>
      </w:r>
    </w:p>
    <w:p>
      <w:pPr>
        <w:pStyle w:val="Heading2"/>
        <w:spacing w:after="150" w:before="300"/>
      </w:pPr>
      <w:r>
        <w:t xml:space="preserve">5.2 Profitability Analysis</w:t>
      </w:r>
    </w:p>
    <w:p>
      <w:pPr>
        <w:spacing w:after="160"/>
      </w:pPr>
      <w:r>
        <w:rPr>
          <w:rFonts w:ascii="Calibri" w:cs="Calibri" w:eastAsia="Calibri" w:hAnsi="Calibri"/>
          <w:b w:val="false"/>
          <w:bCs w:val="false"/>
          <w:i w:val="false"/>
          <w:iCs w:val="false"/>
          <w:sz w:val="22"/>
          <w:szCs w:val="22"/>
        </w:rPr>
        <w:t xml:space="preserve">Technology was the clear leader: about 170,416.31 in sales and 33,697.43 in profit. Office Supplies did about 167,026.42 in sales but only 8,879.98 in profit — much thinner margins.</w:t>
      </w:r>
    </w:p>
    <w:p>
      <w:pPr>
        <w:spacing w:after="160"/>
      </w:pPr>
      <w:r>
        <w:rPr>
          <w:rFonts w:ascii="Calibri" w:cs="Calibri" w:eastAsia="Calibri" w:hAnsi="Calibri"/>
          <w:b w:val="false"/>
          <w:bCs w:val="false"/>
          <w:i w:val="false"/>
          <w:iCs w:val="false"/>
          <w:sz w:val="22"/>
          <w:szCs w:val="22"/>
        </w:rPr>
        <w:t xml:space="preserve">Furniture is the one that stood out to me. It generated 163,797.16 in sales, which is right in line with the other two categories, but it actually lost money overall — a loss of 2,871.05. Same sales volume as Technology and Office Supplies, opposite result.</w:t>
      </w:r>
    </w:p>
    <w:p>
      <w:pPr>
        <w:spacing w:after="160"/>
      </w:pPr>
      <w:r>
        <w:rPr>
          <w:rFonts w:ascii="Calibri" w:cs="Calibri" w:eastAsia="Calibri" w:hAnsi="Calibri"/>
          <w:b w:val="false"/>
          <w:bCs w:val="false"/>
          <w:i w:val="false"/>
          <w:iCs w:val="false"/>
          <w:sz w:val="22"/>
          <w:szCs w:val="22"/>
        </w:rPr>
        <w:t xml:space="preserve">Drilling into sub-categories confirms it's not evenly spread: Copiers alone brought in about 15,608.84 in profit, while Furnishings and Tables were both in the red.</w:t>
      </w:r>
    </w:p>
    <w:p>
      <w:pPr>
        <w:spacing w:after="160"/>
      </w:pPr>
      <w:r>
        <w:rPr>
          <w:rFonts w:ascii="Calibri" w:cs="Calibri" w:eastAsia="Calibri" w:hAnsi="Calibri"/>
          <w:b w:val="false"/>
          <w:bCs w:val="false"/>
          <w:i/>
          <w:iCs/>
          <w:sz w:val="22"/>
          <w:szCs w:val="22"/>
        </w:rPr>
        <w:t xml:space="preserve">What I'd tell management: don't just look at Furniture's sales number and assume it's healthy — it isn't. The pricing and discounting on Furniture (especially Tables and Furnishings) needs a closer look, because selling more of it right now would just mean losing more money.</w:t>
      </w:r>
    </w:p>
    <w:p>
      <w:pPr>
        <w:pStyle w:val="Heading2"/>
        <w:spacing w:after="150" w:before="300"/>
      </w:pPr>
      <w:r>
        <w:t xml:space="preserve">5.3 Customer Behavior</w:t>
      </w:r>
    </w:p>
    <w:p>
      <w:pPr>
        <w:spacing w:after="160"/>
      </w:pPr>
      <w:r>
        <w:rPr>
          <w:rFonts w:ascii="Calibri" w:cs="Calibri" w:eastAsia="Calibri" w:hAnsi="Calibri"/>
          <w:b w:val="false"/>
          <w:bCs w:val="false"/>
          <w:i w:val="false"/>
          <w:iCs w:val="false"/>
          <w:sz w:val="22"/>
          <w:szCs w:val="22"/>
        </w:rPr>
        <w:t xml:space="preserve">Not every customer is contributing the same way. Some generate a lot of sales and a lot of profit; others generate a lot of sales and barely any profit — or a loss.</w:t>
      </w:r>
    </w:p>
    <w:p>
      <w:pPr>
        <w:spacing w:after="160"/>
      </w:pPr>
      <w:r>
        <w:rPr>
          <w:rFonts w:ascii="Calibri" w:cs="Calibri" w:eastAsia="Calibri" w:hAnsi="Calibri"/>
          <w:b w:val="false"/>
          <w:bCs w:val="false"/>
          <w:i w:val="false"/>
          <w:iCs w:val="false"/>
          <w:sz w:val="22"/>
          <w:szCs w:val="22"/>
        </w:rPr>
        <w:t xml:space="preserve">Tamara Chand is a good example on the positive side — about 18,437.14 in sales and 8,745.06 in profit, one of the strongest individual contributors in the dataset.</w:t>
      </w:r>
    </w:p>
    <w:p>
      <w:pPr>
        <w:spacing w:after="160"/>
      </w:pPr>
      <w:r>
        <w:rPr>
          <w:rFonts w:ascii="Calibri" w:cs="Calibri" w:eastAsia="Calibri" w:hAnsi="Calibri"/>
          <w:b w:val="false"/>
          <w:bCs w:val="false"/>
          <w:i w:val="false"/>
          <w:iCs w:val="false"/>
          <w:sz w:val="22"/>
          <w:szCs w:val="22"/>
        </w:rPr>
        <w:t xml:space="preserve">Query 13 was built specifically to catch the opposite case: customers with sales over 5,000 but negative profit. Those are worth investigating individually — a customer who buys a lot isn't automatically a good customer if the margin on what they buy is negative.</w:t>
      </w:r>
    </w:p>
    <w:p>
      <w:pPr>
        <w:spacing w:after="160"/>
      </w:pPr>
      <w:r>
        <w:rPr>
          <w:rFonts w:ascii="Calibri" w:cs="Calibri" w:eastAsia="Calibri" w:hAnsi="Calibri"/>
          <w:b w:val="false"/>
          <w:bCs w:val="false"/>
          <w:i/>
          <w:iCs/>
          <w:sz w:val="22"/>
          <w:szCs w:val="22"/>
        </w:rPr>
        <w:t xml:space="preserve">My takeaway: keep the high-sales, high-profit customers happy, but treat high-sales, low-or-negative-profit customers as a pricing/discount problem to solve, not a success to celebrate.</w:t>
      </w:r>
    </w:p>
    <w:p>
      <w:pPr>
        <w:pStyle w:val="Heading2"/>
        <w:spacing w:after="150" w:before="300"/>
      </w:pPr>
      <w:r>
        <w:t xml:space="preserve">5.4 Sales Trends</w:t>
      </w:r>
    </w:p>
    <w:p>
      <w:pPr>
        <w:spacing w:after="160"/>
      </w:pPr>
      <w:r>
        <w:rPr>
          <w:rFonts w:ascii="Calibri" w:cs="Calibri" w:eastAsia="Calibri" w:hAnsi="Calibri"/>
          <w:b w:val="false"/>
          <w:bCs w:val="false"/>
          <w:i w:val="false"/>
          <w:iCs w:val="false"/>
          <w:sz w:val="22"/>
          <w:szCs w:val="22"/>
        </w:rPr>
        <w:t xml:space="preserve">Sales grew steadily from 103,838.16 in 2013 to 147,429.38 in 2015 — 2015 was the best year in the dataset by both measures.</w:t>
      </w:r>
    </w:p>
    <w:p>
      <w:pPr>
        <w:spacing w:after="160"/>
      </w:pPr>
      <w:r>
        <w:rPr>
          <w:rFonts w:ascii="Calibri" w:cs="Calibri" w:eastAsia="Calibri" w:hAnsi="Calibri"/>
          <w:b w:val="false"/>
          <w:bCs w:val="false"/>
          <w:i w:val="false"/>
          <w:iCs w:val="false"/>
          <w:sz w:val="22"/>
          <w:szCs w:val="22"/>
        </w:rPr>
        <w:t xml:space="preserve">2016 is where it gets interesting. Sales barely moved (147,098.13, almost identical to 2015), but profit dropped hard — from 19,899.16 down to 7,550.84. Same amount of business, way less money made from it. That's not a demand problem, that's a margin problem.</w:t>
      </w:r>
    </w:p>
    <w:p>
      <w:pPr>
        <w:spacing w:after="160"/>
      </w:pPr>
      <w:r>
        <w:rPr>
          <w:rFonts w:ascii="Calibri" w:cs="Calibri" w:eastAsia="Calibri" w:hAnsi="Calibri"/>
          <w:b w:val="false"/>
          <w:bCs w:val="false"/>
          <w:i w:val="false"/>
          <w:iCs w:val="false"/>
          <w:sz w:val="22"/>
          <w:szCs w:val="22"/>
        </w:rPr>
        <w:t xml:space="preserve">The discount data backs this up: transactions with an 80% discount brought in 16,963.76 in sales but actually lost 30,539.04. Heavy discounting was actively destroying value, not just eating into margin.</w:t>
      </w:r>
    </w:p>
    <w:p>
      <w:pPr>
        <w:spacing w:after="160"/>
      </w:pPr>
      <w:r>
        <w:rPr>
          <w:rFonts w:ascii="Calibri" w:cs="Calibri" w:eastAsia="Calibri" w:hAnsi="Calibri"/>
          <w:b w:val="false"/>
          <w:bCs w:val="false"/>
          <w:i/>
          <w:iCs/>
          <w:sz w:val="22"/>
          <w:szCs w:val="22"/>
        </w:rPr>
        <w:t xml:space="preserve">If I were advising the business, I'd want someone to dig into what changed operationally in 2016 — and I'd put tighter limits on how deep discounts are allowed to go, because the data shows the deepest discounts aren't just low-margin, they're loss-making.</w:t>
      </w:r>
    </w:p>
    <w:p>
      <w:pPr>
        <w:pStyle w:val="Heading2"/>
        <w:spacing w:after="150" w:before="300"/>
      </w:pPr>
      <w:r>
        <w:t xml:space="preserve">5.5 Overall Business Conclusion</w:t>
      </w:r>
    </w:p>
    <w:p>
      <w:pPr>
        <w:spacing w:after="160"/>
      </w:pPr>
      <w:r>
        <w:rPr>
          <w:rFonts w:ascii="Calibri" w:cs="Calibri" w:eastAsia="Calibri" w:hAnsi="Calibri"/>
          <w:b w:val="false"/>
          <w:bCs w:val="false"/>
          <w:i w:val="false"/>
          <w:iCs w:val="false"/>
          <w:sz w:val="22"/>
          <w:szCs w:val="22"/>
        </w:rPr>
        <w:t xml:space="preserve">The main thing this analysis showed me is that total sales alone is a misleading number. Furniture looks fine by sales but isn't profitable. Some of the best-looking customers by revenue are actually costing the business money. And 2016 looked stable on the surface but was quietly worse than 2015 underneath.</w:t>
      </w:r>
    </w:p>
    <w:p>
      <w:pPr>
        <w:spacing w:after="160"/>
      </w:pPr>
      <w:r>
        <w:rPr>
          <w:rFonts w:ascii="Calibri" w:cs="Calibri" w:eastAsia="Calibri" w:hAnsi="Calibri"/>
          <w:b w:val="false"/>
          <w:bCs w:val="false"/>
          <w:i w:val="false"/>
          <w:iCs w:val="false"/>
          <w:sz w:val="22"/>
          <w:szCs w:val="22"/>
        </w:rPr>
        <w:t xml:space="preserve">If I had to summarize it in one line: this business needs to watch margin and discount behavior as closely as it watches revenue, because right now revenue is hiding some real problems.</w:t>
      </w:r>
    </w:p>
    <w:p>
      <w:pPr>
        <w:pStyle w:val="Heading1"/>
        <w:spacing w:after="200" w:before="400"/>
      </w:pPr>
      <w:r>
        <w:t xml:space="preserve">6. Views &amp; Stored Procedures</w:t>
      </w:r>
    </w:p>
    <w:p>
      <w:pPr>
        <w:pStyle w:val="Heading2"/>
        <w:spacing w:after="150" w:before="300"/>
      </w:pPr>
      <w:r>
        <w:t xml:space="preserve">6.1 gold.vw_SalesPerformance</w:t>
      </w:r>
    </w:p>
    <w:p>
      <w:pPr>
        <w:spacing w:after="160"/>
      </w:pPr>
      <w:r>
        <w:rPr>
          <w:rFonts w:ascii="Calibri" w:cs="Calibri" w:eastAsia="Calibri" w:hAnsi="Calibri"/>
          <w:b w:val="false"/>
          <w:bCs w:val="false"/>
          <w:i w:val="false"/>
          <w:iCs w:val="false"/>
          <w:sz w:val="22"/>
          <w:szCs w:val="22"/>
        </w:rPr>
        <w:t xml:space="preserve">This is a wide view — it joins the fact table to all five dimensions and exposes everything at the transaction level (customer, product, date, location, shipping). I built this mainly as a general-purpose reporting surface, something a BI tool or an analyst could query directly without having to know the underlying join logic.</w:t>
      </w:r>
    </w:p>
    <w:p>
      <w:pPr>
        <w:pStyle w:val="Heading2"/>
        <w:spacing w:after="150" w:before="300"/>
      </w:pPr>
      <w:r>
        <w:t xml:space="preserve">6.2 gold.vw_CategoryKPI</w:t>
      </w:r>
    </w:p>
    <w:p>
      <w:pPr>
        <w:spacing w:after="160"/>
      </w:pPr>
      <w:r>
        <w:rPr>
          <w:rFonts w:ascii="Calibri" w:cs="Calibri" w:eastAsia="Calibri" w:hAnsi="Calibri"/>
          <w:b w:val="false"/>
          <w:bCs w:val="false"/>
          <w:i w:val="false"/>
          <w:iCs w:val="false"/>
          <w:sz w:val="22"/>
          <w:szCs w:val="22"/>
        </w:rPr>
        <w:t xml:space="preserve">This one is more deliberate — it aggregates by category and calculates profit margin directly, so it's an actual KPI view rather than just a wide table: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VIEW gold.vw_CategoryKPI AS</w:t>
      </w:r>
      <w:r>
        <w:br/>
      </w:r>
      <w:r>
        <w:rPr>
          <w:rFonts w:ascii="Consolas" w:cs="Consolas" w:eastAsia="Consolas" w:hAnsi="Consolas"/>
          <w:sz w:val="18"/>
          <w:szCs w:val="18"/>
        </w:rPr>
        <w:t xml:space="preserve">SELECT</w:t>
      </w:r>
      <w:r>
        <w:br/>
      </w:r>
      <w:r>
        <w:rPr>
          <w:rFonts w:ascii="Consolas" w:cs="Consolas" w:eastAsia="Consolas" w:hAnsi="Consolas"/>
          <w:sz w:val="18"/>
          <w:szCs w:val="18"/>
        </w:rPr>
        <w:t xml:space="preserve">    p.Category,</w:t>
      </w:r>
      <w:r>
        <w:br/>
      </w:r>
      <w:r>
        <w:rPr>
          <w:rFonts w:ascii="Consolas" w:cs="Consolas" w:eastAsia="Consolas" w:hAnsi="Consolas"/>
          <w:sz w:val="18"/>
          <w:szCs w:val="18"/>
        </w:rPr>
        <w:t xml:space="preserve">    SUM(f.Sales)  AS TotalSales,</w:t>
      </w:r>
      <w:r>
        <w:br/>
      </w:r>
      <w:r>
        <w:rPr>
          <w:rFonts w:ascii="Consolas" w:cs="Consolas" w:eastAsia="Consolas" w:hAnsi="Consolas"/>
          <w:sz w:val="18"/>
          <w:szCs w:val="18"/>
        </w:rPr>
        <w:t xml:space="preserve">    SUM(f.Profit) AS TotalProfit,</w:t>
      </w:r>
      <w:r>
        <w:br/>
      </w:r>
      <w:r>
        <w:rPr>
          <w:rFonts w:ascii="Consolas" w:cs="Consolas" w:eastAsia="Consolas" w:hAnsi="Consolas"/>
          <w:sz w:val="18"/>
          <w:szCs w:val="18"/>
        </w:rPr>
        <w:t xml:space="preserve">    SUM(f.Profit) / NULLIF(SUM(f.Sales), 0) * 100 AS ProfitMargin</w:t>
      </w:r>
      <w:r>
        <w:br/>
      </w:r>
      <w:r>
        <w:rPr>
          <w:rFonts w:ascii="Consolas" w:cs="Consolas" w:eastAsia="Consolas" w:hAnsi="Consolas"/>
          <w:sz w:val="18"/>
          <w:szCs w:val="18"/>
        </w:rPr>
        <w:t xml:space="preserve">FROM gold.FactSales f</w:t>
      </w:r>
      <w:r>
        <w:br/>
      </w:r>
      <w:r>
        <w:rPr>
          <w:rFonts w:ascii="Consolas" w:cs="Consolas" w:eastAsia="Consolas" w:hAnsi="Consolas"/>
          <w:sz w:val="18"/>
          <w:szCs w:val="18"/>
        </w:rPr>
        <w:t xml:space="preserve">JOIN gold.DimProduct p ON f.ProductKey = p.ProductKey</w:t>
      </w:r>
      <w:r>
        <w:br/>
      </w:r>
      <w:r>
        <w:rPr>
          <w:rFonts w:ascii="Consolas" w:cs="Consolas" w:eastAsia="Consolas" w:hAnsi="Consolas"/>
          <w:sz w:val="18"/>
          <w:szCs w:val="18"/>
        </w:rPr>
        <w:t xml:space="preserve">GROUP BY p.Category;</w:t>
      </w:r>
    </w:p>
    <w:p>
      <w:pPr>
        <w:spacing w:after="160"/>
      </w:pPr>
      <w:r>
        <w:rPr>
          <w:rFonts w:ascii="Calibri" w:cs="Calibri" w:eastAsia="Calibri" w:hAnsi="Calibri"/>
          <w:b w:val="false"/>
          <w:bCs w:val="false"/>
          <w:i w:val="false"/>
          <w:iCs w:val="false"/>
          <w:sz w:val="22"/>
          <w:szCs w:val="22"/>
        </w:rPr>
        <w:t xml:space="preserve">I added this one after realizing vw_SalesPerformance doesn't actually calculate anything — it just exposes raw columns. This view is the one I'd actually point a dashboard at.</w:t>
      </w:r>
    </w:p>
    <w:p>
      <w:pPr>
        <w:pStyle w:val="Heading2"/>
        <w:spacing w:after="150" w:before="300"/>
      </w:pPr>
      <w:r>
        <w:t xml:space="preserve">6.3 gold.usp_SalesKPI</w:t>
      </w:r>
    </w:p>
    <w:p>
      <w:pPr>
        <w:spacing w:after="160"/>
      </w:pPr>
      <w:r>
        <w:rPr>
          <w:rFonts w:ascii="Calibri" w:cs="Calibri" w:eastAsia="Calibri" w:hAnsi="Calibri"/>
          <w:b w:val="false"/>
          <w:bCs w:val="false"/>
          <w:i w:val="false"/>
          <w:iCs w:val="false"/>
          <w:sz w:val="22"/>
          <w:szCs w:val="22"/>
        </w:rPr>
        <w:t xml:space="preserve">The stored procedure returns total sales, profit, quantity, and profit margin, filtered by year and/or category. Both parameters default to NULL, so it can be called four different ways — both filters, just one, or neither: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OR ALTER PROCEDURE gold.usp_SalesKPI</w:t>
      </w:r>
      <w:r>
        <w:br/>
      </w:r>
      <w:r>
        <w:rPr>
          <w:rFonts w:ascii="Consolas" w:cs="Consolas" w:eastAsia="Consolas" w:hAnsi="Consolas"/>
          <w:sz w:val="18"/>
          <w:szCs w:val="18"/>
        </w:rPr>
        <w:t xml:space="preserve">    @Year INT = NULL,</w:t>
      </w:r>
      <w:r>
        <w:br/>
      </w:r>
      <w:r>
        <w:rPr>
          <w:rFonts w:ascii="Consolas" w:cs="Consolas" w:eastAsia="Consolas" w:hAnsi="Consolas"/>
          <w:sz w:val="18"/>
          <w:szCs w:val="18"/>
        </w:rPr>
        <w:t xml:space="preserve">    @Category VARCHAR(50) = NULL</w:t>
      </w:r>
      <w:r>
        <w:br/>
      </w:r>
      <w:r>
        <w:rPr>
          <w:rFonts w:ascii="Consolas" w:cs="Consolas" w:eastAsia="Consolas" w:hAnsi="Consolas"/>
          <w:sz w:val="18"/>
          <w:szCs w:val="18"/>
        </w:rPr>
        <w:t xml:space="preserve">AS</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SELECT</w:t>
      </w:r>
      <w:r>
        <w:br/>
      </w:r>
      <w:r>
        <w:rPr>
          <w:rFonts w:ascii="Consolas" w:cs="Consolas" w:eastAsia="Consolas" w:hAnsi="Consolas"/>
          <w:sz w:val="18"/>
          <w:szCs w:val="18"/>
        </w:rPr>
        <w:t xml:space="preserve">        SUM(f.Sales) AS TotalSales,</w:t>
      </w:r>
      <w:r>
        <w:br/>
      </w:r>
      <w:r>
        <w:rPr>
          <w:rFonts w:ascii="Consolas" w:cs="Consolas" w:eastAsia="Consolas" w:hAnsi="Consolas"/>
          <w:sz w:val="18"/>
          <w:szCs w:val="18"/>
        </w:rPr>
        <w:t xml:space="preserve">        SUM(f.Profit) AS TotalProfit,</w:t>
      </w:r>
      <w:r>
        <w:br/>
      </w:r>
      <w:r>
        <w:rPr>
          <w:rFonts w:ascii="Consolas" w:cs="Consolas" w:eastAsia="Consolas" w:hAnsi="Consolas"/>
          <w:sz w:val="18"/>
          <w:szCs w:val="18"/>
        </w:rPr>
        <w:t xml:space="preserve">        SUM(f.Quantity) AS TotalQuantity,</w:t>
      </w:r>
      <w:r>
        <w:br/>
      </w:r>
      <w:r>
        <w:rPr>
          <w:rFonts w:ascii="Consolas" w:cs="Consolas" w:eastAsia="Consolas" w:hAnsi="Consolas"/>
          <w:sz w:val="18"/>
          <w:szCs w:val="18"/>
        </w:rPr>
        <w:t xml:space="preserve">        SUM(f.Profit) / NULLIF(SUM(f.Sales), 0) * 100 AS ProfitMargin</w:t>
      </w:r>
      <w:r>
        <w:br/>
      </w:r>
      <w:r>
        <w:rPr>
          <w:rFonts w:ascii="Consolas" w:cs="Consolas" w:eastAsia="Consolas" w:hAnsi="Consolas"/>
          <w:sz w:val="18"/>
          <w:szCs w:val="18"/>
        </w:rPr>
        <w:t xml:space="preserve">    FROM gold.FactSales f</w:t>
      </w:r>
      <w:r>
        <w:br/>
      </w:r>
      <w:r>
        <w:rPr>
          <w:rFonts w:ascii="Consolas" w:cs="Consolas" w:eastAsia="Consolas" w:hAnsi="Consolas"/>
          <w:sz w:val="18"/>
          <w:szCs w:val="18"/>
        </w:rPr>
        <w:t xml:space="preserve">    JOIN gold.DimDate d ON f.OrderDateKey = d.DateKey</w:t>
      </w:r>
      <w:r>
        <w:br/>
      </w:r>
      <w:r>
        <w:rPr>
          <w:rFonts w:ascii="Consolas" w:cs="Consolas" w:eastAsia="Consolas" w:hAnsi="Consolas"/>
          <w:sz w:val="18"/>
          <w:szCs w:val="18"/>
        </w:rPr>
        <w:t xml:space="preserve">    JOIN gold.DimProduct p ON f.ProductKey = p.ProductKey</w:t>
      </w:r>
      <w:r>
        <w:br/>
      </w:r>
      <w:r>
        <w:rPr>
          <w:rFonts w:ascii="Consolas" w:cs="Consolas" w:eastAsia="Consolas" w:hAnsi="Consolas"/>
          <w:sz w:val="18"/>
          <w:szCs w:val="18"/>
        </w:rPr>
        <w:t xml:space="preserve">    WHERE (@Year IS NULL OR d.Year = @Year)</w:t>
      </w:r>
      <w:r>
        <w:br/>
      </w:r>
      <w:r>
        <w:rPr>
          <w:rFonts w:ascii="Consolas" w:cs="Consolas" w:eastAsia="Consolas" w:hAnsi="Consolas"/>
          <w:sz w:val="18"/>
          <w:szCs w:val="18"/>
        </w:rPr>
        <w:t xml:space="preserve">      AND (@Category IS NULL OR p.Category = @Category);</w:t>
      </w:r>
      <w:r>
        <w:br/>
      </w:r>
      <w:r>
        <w:rPr>
          <w:rFonts w:ascii="Consolas" w:cs="Consolas" w:eastAsia="Consolas" w:hAnsi="Consolas"/>
          <w:sz w:val="18"/>
          <w:szCs w:val="18"/>
        </w:rPr>
        <w:t xml:space="preserve">END;</w:t>
      </w:r>
    </w:p>
    <w:p>
      <w:pPr>
        <w:spacing w:after="160"/>
      </w:pPr>
      <w:r>
        <w:rPr>
          <w:rFonts w:ascii="Calibri" w:cs="Calibri" w:eastAsia="Calibri" w:hAnsi="Calibri"/>
          <w:b w:val="false"/>
          <w:bCs w:val="false"/>
          <w:i w:val="false"/>
          <w:iCs w:val="false"/>
          <w:sz w:val="22"/>
          <w:szCs w:val="22"/>
        </w:rPr>
        <w:t xml:space="preserve">I tested it against all four combinations to make sure the NULL logic actually worked and didn't just silently return nothing when a parameter was left off:</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EXEC gold.usp_SalesKPI @Year = 2016, @Category = 'Technology';</w:t>
      </w:r>
      <w:r>
        <w:br/>
      </w:r>
      <w:r>
        <w:rPr>
          <w:rFonts w:ascii="Consolas" w:cs="Consolas" w:eastAsia="Consolas" w:hAnsi="Consolas"/>
          <w:sz w:val="18"/>
          <w:szCs w:val="18"/>
        </w:rPr>
        <w:t xml:space="preserve">EXEC gold.usp_SalesKPI @Year = 2016;</w:t>
      </w:r>
      <w:r>
        <w:br/>
      </w:r>
      <w:r>
        <w:rPr>
          <w:rFonts w:ascii="Consolas" w:cs="Consolas" w:eastAsia="Consolas" w:hAnsi="Consolas"/>
          <w:sz w:val="18"/>
          <w:szCs w:val="18"/>
        </w:rPr>
        <w:t xml:space="preserve">EXEC gold.usp_SalesKPI @Category = 'Technology';</w:t>
      </w:r>
      <w:r>
        <w:br/>
      </w:r>
      <w:r>
        <w:rPr>
          <w:rFonts w:ascii="Consolas" w:cs="Consolas" w:eastAsia="Consolas" w:hAnsi="Consolas"/>
          <w:sz w:val="18"/>
          <w:szCs w:val="18"/>
        </w:rPr>
        <w:t xml:space="preserve">EXEC gold.usp_SalesKPI;</w:t>
      </w:r>
    </w:p>
    <w:p>
      <w:pPr>
        <w:spacing w:after="160"/>
      </w:pPr>
      <w:r>
        <w:rPr>
          <w:rFonts w:ascii="Calibri" w:cs="Calibri" w:eastAsia="Calibri" w:hAnsi="Calibri"/>
          <w:b w:val="false"/>
          <w:bCs w:val="false"/>
          <w:i w:val="false"/>
          <w:iCs w:val="false"/>
          <w:sz w:val="22"/>
          <w:szCs w:val="22"/>
        </w:rPr>
        <w:t xml:space="preserve">I used CREATE OR ALTER instead of a plain CREATE PROCEDURE so the script can be re-run without erroring out on “object already exists” — that came up while I was testing and it was an easy fix once I understood why it was happening.</w:t>
      </w:r>
    </w:p>
    <w:p>
      <w:pPr>
        <w:pStyle w:val="Heading1"/>
        <w:spacing w:after="200" w:before="400"/>
      </w:pPr>
      <w:r>
        <w:t xml:space="preserve">7. Query Optimization &amp; Performance</w:t>
      </w:r>
    </w:p>
    <w:p>
      <w:pPr>
        <w:spacing w:after="160"/>
      </w:pPr>
      <w:r>
        <w:rPr>
          <w:rFonts w:ascii="Calibri" w:cs="Calibri" w:eastAsia="Calibri" w:hAnsi="Calibri"/>
          <w:b w:val="false"/>
          <w:bCs w:val="false"/>
          <w:i w:val="false"/>
          <w:iCs w:val="false"/>
          <w:sz w:val="22"/>
          <w:szCs w:val="22"/>
        </w:rPr>
        <w:t xml:space="preserve">Rather than just guessing whether an index would help, I picked one query (Query 2, the customer sales/profit aggregation) and actually measured it — before and after adding an index — using SET STATISTICS IO and SET STATISTICS TIME.</w:t>
      </w:r>
    </w:p>
    <w:p>
      <w:pPr>
        <w:pStyle w:val="Heading2"/>
        <w:spacing w:after="150" w:before="300"/>
      </w:pPr>
      <w:r>
        <w:t xml:space="preserve">7.1 Before Adding the Index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Table 'FactSales'.   Scan count 1, logical reads 27</w:t>
      </w:r>
      <w:r>
        <w:br/>
      </w:r>
      <w:r>
        <w:rPr>
          <w:rFonts w:ascii="Consolas" w:cs="Consolas" w:eastAsia="Consolas" w:hAnsi="Consolas"/>
          <w:sz w:val="18"/>
          <w:szCs w:val="18"/>
        </w:rPr>
        <w:t xml:space="preserve">Table 'DimCustomer'. Scan count 1, logical reads 6</w:t>
      </w:r>
      <w:r>
        <w:br/>
      </w:r>
      <w:r>
        <w:rPr>
          <w:rFonts w:ascii="Consolas" w:cs="Consolas" w:eastAsia="Consolas" w:hAnsi="Consolas"/>
          <w:sz w:val="18"/>
          <w:szCs w:val="18"/>
        </w:rPr>
        <w:t xml:space="preserve">CPU time = 0 ms, elapsed time = 73 ms</w:t>
      </w:r>
    </w:p>
    <w:p>
      <w:pPr>
        <w:pStyle w:val="Heading2"/>
        <w:spacing w:after="150" w:before="300"/>
      </w:pPr>
      <w:r>
        <w:t xml:space="preserve">7.2 The Index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CREATE NONCLUSTERED INDEX IX_FactSales_CustomerKey</w:t>
      </w:r>
      <w:r>
        <w:br/>
      </w:r>
      <w:r>
        <w:rPr>
          <w:rFonts w:ascii="Consolas" w:cs="Consolas" w:eastAsia="Consolas" w:hAnsi="Consolas"/>
          <w:sz w:val="18"/>
          <w:szCs w:val="18"/>
        </w:rPr>
        <w:t xml:space="preserve">    ON gold.FactSales(CustomerKey)</w:t>
      </w:r>
      <w:r>
        <w:br/>
      </w:r>
      <w:r>
        <w:rPr>
          <w:rFonts w:ascii="Consolas" w:cs="Consolas" w:eastAsia="Consolas" w:hAnsi="Consolas"/>
          <w:sz w:val="18"/>
          <w:szCs w:val="18"/>
        </w:rPr>
        <w:t xml:space="preserve">    INCLUDE (Sales, Profit);</w:t>
      </w:r>
    </w:p>
    <w:p>
      <w:pPr>
        <w:spacing w:after="160"/>
      </w:pPr>
      <w:r>
        <w:rPr>
          <w:rFonts w:ascii="Calibri" w:cs="Calibri" w:eastAsia="Calibri" w:hAnsi="Calibri"/>
          <w:b w:val="false"/>
          <w:bCs w:val="false"/>
          <w:i w:val="false"/>
          <w:iCs w:val="false"/>
          <w:sz w:val="22"/>
          <w:szCs w:val="22"/>
        </w:rPr>
        <w:t xml:space="preserve">I included Sales and Profit in the index (not just CustomerKey) because those are exactly the columns the query needs for its SUM() calculations. With them included, SQL Server can answer the whole query from the index without going back to the table — that's the point of a covering index.</w:t>
      </w:r>
    </w:p>
    <w:p>
      <w:pPr>
        <w:pStyle w:val="Heading2"/>
        <w:spacing w:after="150" w:before="300"/>
      </w:pPr>
      <w:r>
        <w:t xml:space="preserve">7.3 After Adding the Index</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Table 'FactSales'.   Scan count 1, logical reads 12</w:t>
      </w:r>
      <w:r>
        <w:br/>
      </w:r>
      <w:r>
        <w:rPr>
          <w:rFonts w:ascii="Consolas" w:cs="Consolas" w:eastAsia="Consolas" w:hAnsi="Consolas"/>
          <w:sz w:val="18"/>
          <w:szCs w:val="18"/>
        </w:rPr>
        <w:t xml:space="preserve">Table 'DimCustomer'. Scan count 1, logical reads 6</w:t>
      </w:r>
      <w:r>
        <w:br/>
      </w:r>
      <w:r>
        <w:rPr>
          <w:rFonts w:ascii="Consolas" w:cs="Consolas" w:eastAsia="Consolas" w:hAnsi="Consolas"/>
          <w:sz w:val="18"/>
          <w:szCs w:val="18"/>
        </w:rPr>
        <w:t xml:space="preserve">CPU time = 0 ms, elapsed time = 58 ms</w:t>
      </w:r>
    </w:p>
    <w:p>
      <w:pPr>
        <w:pStyle w:val="Heading2"/>
        <w:spacing w:after="150" w:before="300"/>
      </w:pPr>
      <w:r>
        <w:t xml:space="preserve">7.4 What This Shows</w:t>
      </w:r>
    </w:p>
    <w:p>
      <w:pPr>
        <w:spacing w:after="160"/>
      </w:pPr>
      <w:r>
        <w:rPr>
          <w:rFonts w:ascii="Calibri" w:cs="Calibri" w:eastAsia="Calibri" w:hAnsi="Calibri"/>
          <w:b w:val="false"/>
          <w:bCs w:val="false"/>
          <w:i w:val="false"/>
          <w:iCs w:val="false"/>
          <w:sz w:val="22"/>
          <w:szCs w:val="22"/>
        </w:rPr>
        <w:t xml:space="preserve">Logical reads on FactSales dropped from 27 to 12 — about a 56% reduction — and elapsed time dropped from 73ms to 58ms. So the index is genuinely being used, not just sitting there unused.</w:t>
      </w:r>
    </w:p>
    <w:p>
      <w:pPr>
        <w:spacing w:after="160"/>
      </w:pPr>
      <w:r>
        <w:rPr>
          <w:rFonts w:ascii="Calibri" w:cs="Calibri" w:eastAsia="Calibri" w:hAnsi="Calibri"/>
          <w:b w:val="false"/>
          <w:bCs w:val="false"/>
          <w:i w:val="false"/>
          <w:iCs w:val="false"/>
          <w:sz w:val="22"/>
          <w:szCs w:val="22"/>
        </w:rPr>
        <w:t xml:space="preserve">Honestly, at 2,323 rows, the actual time saved barely matters — both numbers are fast enough that a user would never notice the difference. But that's kind of the point of measuring instead of assuming: the drop in logical reads proves the optimizer is doing less work, even if the wall-clock time doesn't show it dramatically at this scale. On a fact table with hundreds of thousands or millions of rows instead of a couple thousand, this same index would matter a lot more, because the alternative — scanning the whole table for every query — gets proportionally more expensive as the table grows.</w:t>
      </w:r>
    </w:p>
    <w:p>
      <w:pPr>
        <w:pStyle w:val="Heading1"/>
        <w:spacing w:after="200" w:before="400"/>
      </w:pPr>
      <w:r>
        <w:t xml:space="preserve">8. Conclusion</w:t>
      </w:r>
    </w:p>
    <w:p>
      <w:pPr>
        <w:spacing w:after="160"/>
      </w:pPr>
      <w:r>
        <w:rPr>
          <w:rFonts w:ascii="Calibri" w:cs="Calibri" w:eastAsia="Calibri" w:hAnsi="Calibri"/>
          <w:b w:val="false"/>
          <w:bCs w:val="false"/>
          <w:i w:val="false"/>
          <w:iCs w:val="false"/>
          <w:sz w:val="22"/>
          <w:szCs w:val="22"/>
        </w:rPr>
        <w:t xml:space="preserve">This project took the Central Superstore data from a flat CSV to a working star schema, with a four-layer pipeline behind it to handle cleaning and data quality along the way. All the required pieces are there: normalized fact/dimension tables with enforced keys, 15 analytics queries covering joins, CTEs, subqueries, and CASE logic, two views (one general-purpose, one KPI-focused), a stored procedure with optional parameters, and an actual measured optimization test rather than just a claim about one.</w:t>
      </w:r>
    </w:p>
    <w:p>
      <w:pPr>
        <w:spacing w:after="160"/>
      </w:pPr>
      <w:r>
        <w:rPr>
          <w:rFonts w:ascii="Calibri" w:cs="Calibri" w:eastAsia="Calibri" w:hAnsi="Calibri"/>
          <w:b w:val="false"/>
          <w:bCs w:val="false"/>
          <w:i w:val="false"/>
          <w:iCs w:val="false"/>
          <w:sz w:val="22"/>
          <w:szCs w:val="22"/>
        </w:rPr>
        <w:t xml:space="preserve">The analysis itself is the part I found most useful to build — it's easy to assume the business is doing fine because total sales are up, but Furniture, certain customers, and the 2016 numbers all tell a more complicated story once you look past the top-line total.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2026-09-15T20:53:10.408Z</dcterms:created>
  <dcterms:modified xsi:type="dcterms:W3CDTF">2026-09-15T20:53:10.419Z</dcterms:modified>
</cp:coreProperties>
</file>

<file path=docProps/custom.xml><?xml version="1.0" encoding="utf-8"?>
<Properties xmlns="http://schemas.openxmlformats.org/officeDocument/2006/custom-properties" xmlns:vt="http://schemas.openxmlformats.org/officeDocument/2006/docPropsVTypes"/>
</file>