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A57C"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iPhone</w:t>
      </w:r>
    </w:p>
    <w:p w14:paraId="1DFB870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iPhone net sales increased during 2021 compared to 2020 due primarily to higher net sales from the Company’s new iPhone models launched in the first quarter and fourth quarter of 2021 and a favorable mix of iPhone sales.</w:t>
      </w:r>
    </w:p>
    <w:p w14:paraId="5576D5B4"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Mac</w:t>
      </w:r>
    </w:p>
    <w:p w14:paraId="4AF137E7"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Mac net sales increased during 2021 compared to 2020 due primarily to higher net sales of MacBook Air, MacBook Pro and iMac.</w:t>
      </w:r>
    </w:p>
    <w:p w14:paraId="22FA66C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iPad</w:t>
      </w:r>
    </w:p>
    <w:p w14:paraId="7B4562D6"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iPad net sales increased during 2021 compared to 2020 due primarily to higher net sales of iPad Air and iPad Pro.</w:t>
      </w:r>
    </w:p>
    <w:p w14:paraId="2FEDB2B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Wearables, Home and Accessories</w:t>
      </w:r>
    </w:p>
    <w:p w14:paraId="4CECE90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Wearables, Home and Accessories net sales increased during 2021 compared to 2020 due primarily to higher net sales of accessories and Apple Watch.</w:t>
      </w:r>
    </w:p>
    <w:p w14:paraId="37B451EA"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Services</w:t>
      </w:r>
    </w:p>
    <w:p w14:paraId="1BB74378"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Services net sales increased during 2021 compared to 2020 due primarily to higher net sales from advertising, the App Store and cloud services.</w:t>
      </w:r>
    </w:p>
    <w:p w14:paraId="4AAEF152" w14:textId="0C728E5A" w:rsidR="00CC4B6F" w:rsidRDefault="00CC4B6F"/>
    <w:p w14:paraId="21CBC26D" w14:textId="20EE9E20" w:rsidR="00283A16" w:rsidRDefault="00283A16"/>
    <w:p w14:paraId="13DBB985"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b/>
          <w:bCs/>
          <w:i/>
          <w:iCs/>
          <w:color w:val="000000"/>
          <w:sz w:val="18"/>
          <w:szCs w:val="18"/>
        </w:rPr>
        <w:t>The Company’s retail stores have required and will continue to require a substantial investment and commitment of resources and are subject to numerous risks and uncertainties.</w:t>
      </w:r>
    </w:p>
    <w:p w14:paraId="6F68F06A"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color w:val="000000"/>
          <w:sz w:val="18"/>
          <w:szCs w:val="18"/>
        </w:rPr>
        <w:t xml:space="preserve">The Company’s retail stores have required substantial investment in equipment and leasehold improvements, information systems, inventory and personnel. The Company also has </w:t>
      </w:r>
      <w:proofErr w:type="gramStart"/>
      <w:r w:rsidRPr="00283A16">
        <w:rPr>
          <w:rFonts w:ascii="Helvetica" w:eastAsia="Times New Roman" w:hAnsi="Helvetica" w:cs="Times New Roman"/>
          <w:color w:val="000000"/>
          <w:sz w:val="18"/>
          <w:szCs w:val="18"/>
        </w:rPr>
        <w:t>entered into</w:t>
      </w:r>
      <w:proofErr w:type="gramEnd"/>
      <w:r w:rsidRPr="00283A16">
        <w:rPr>
          <w:rFonts w:ascii="Helvetica" w:eastAsia="Times New Roman" w:hAnsi="Helvetica" w:cs="Times New Roman"/>
          <w:color w:val="000000"/>
          <w:sz w:val="18"/>
          <w:szCs w:val="18"/>
        </w:rPr>
        <w:t xml:space="preserve"> substantial lease commitments for retail space. Certain stores have been designed and built to serve as high-profile venues to promote brand awareness. Because of their unique design elements, locations and size, these stores require substantially more investment than the Company’s more typical retail stores. Due to the </w:t>
      </w:r>
      <w:proofErr w:type="gramStart"/>
      <w:r w:rsidRPr="00283A16">
        <w:rPr>
          <w:rFonts w:ascii="Helvetica" w:eastAsia="Times New Roman" w:hAnsi="Helvetica" w:cs="Times New Roman"/>
          <w:color w:val="000000"/>
          <w:sz w:val="18"/>
          <w:szCs w:val="18"/>
        </w:rPr>
        <w:t>high cost</w:t>
      </w:r>
      <w:proofErr w:type="gramEnd"/>
      <w:r w:rsidRPr="00283A16">
        <w:rPr>
          <w:rFonts w:ascii="Helvetica" w:eastAsia="Times New Roman" w:hAnsi="Helvetica" w:cs="Times New Roman"/>
          <w:color w:val="000000"/>
          <w:sz w:val="18"/>
          <w:szCs w:val="18"/>
        </w:rPr>
        <w:t xml:space="preserve"> structure associated with the Company’s retail stores, a decline in sales or the closure or poor performance of an individual store or multiple stores, including as a result of protective public safety measures in response to the COVID-19 pandemic, could result in significant lease termination costs, write-offs of equipment and leasehold improvements and severance costs.</w:t>
      </w:r>
    </w:p>
    <w:p w14:paraId="27DC0F31"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color w:val="000000"/>
          <w:sz w:val="18"/>
          <w:szCs w:val="18"/>
        </w:rPr>
        <w:t>The Company’s retail operations are subject to many factors that pose risks and uncertainties and could adversely impact the Company’s business, results of operations and financial condition, including macro-economic factors that could have an adverse effect on general retail activity. Other factors include the Company’s ability to: manage costs associated with retail store construction and operation; manage relationships with existing retail partners; manage costs associated with fluctuations in the value of retail inventory; and obtain and renew leases in quality retail locations at a reasonable cost.</w:t>
      </w:r>
    </w:p>
    <w:p w14:paraId="16A6FD34" w14:textId="0D49913A" w:rsidR="001640BE" w:rsidRDefault="001640BE"/>
    <w:p w14:paraId="5A551272" w14:textId="0CB177FC" w:rsidR="001640BE" w:rsidRDefault="001640BE"/>
    <w:p w14:paraId="11963F8E" w14:textId="77777777" w:rsidR="001640BE" w:rsidRPr="001640BE" w:rsidRDefault="001640BE" w:rsidP="001640BE">
      <w:pPr>
        <w:jc w:val="both"/>
        <w:rPr>
          <w:rFonts w:ascii="Times" w:eastAsia="Times New Roman" w:hAnsi="Times" w:cs="Times New Roman"/>
          <w:color w:val="000000"/>
          <w:sz w:val="27"/>
          <w:szCs w:val="27"/>
        </w:rPr>
      </w:pPr>
      <w:r w:rsidRPr="001640BE">
        <w:rPr>
          <w:rFonts w:ascii="Helvetica" w:eastAsia="Times New Roman" w:hAnsi="Helvetica" w:cs="Times New Roman"/>
          <w:i/>
          <w:iCs/>
          <w:color w:val="000000"/>
          <w:sz w:val="18"/>
          <w:szCs w:val="18"/>
        </w:rPr>
        <w:t>Leases</w:t>
      </w:r>
    </w:p>
    <w:p w14:paraId="4C10D452" w14:textId="77777777" w:rsidR="001640BE" w:rsidRPr="001640BE" w:rsidRDefault="001640BE" w:rsidP="001640BE">
      <w:pPr>
        <w:jc w:val="both"/>
        <w:rPr>
          <w:rFonts w:ascii="Times" w:eastAsia="Times New Roman" w:hAnsi="Times" w:cs="Times New Roman"/>
          <w:color w:val="000000"/>
          <w:sz w:val="27"/>
          <w:szCs w:val="27"/>
        </w:rPr>
      </w:pPr>
      <w:r w:rsidRPr="001640BE">
        <w:rPr>
          <w:rFonts w:ascii="Helvetica" w:eastAsia="Times New Roman" w:hAnsi="Helvetica" w:cs="Times New Roman"/>
          <w:color w:val="000000"/>
          <w:sz w:val="18"/>
          <w:szCs w:val="18"/>
        </w:rPr>
        <w:t>The Company has lease arrangements for certain equipment and facilities, including retail, corporate, manufacturing and data center space. As of September 25, 2021, the Company had fixed lease payment obligations of $14.6 billion, with $1.8 billion payable within 12 months.</w:t>
      </w:r>
    </w:p>
    <w:p w14:paraId="3CAE2E4C" w14:textId="77777777" w:rsidR="001640BE" w:rsidRPr="001640BE" w:rsidRDefault="001640BE" w:rsidP="001640BE">
      <w:pPr>
        <w:rPr>
          <w:rFonts w:ascii="Times New Roman" w:eastAsia="Times New Roman" w:hAnsi="Times New Roman" w:cs="Times New Roman"/>
        </w:rPr>
      </w:pPr>
    </w:p>
    <w:p w14:paraId="230DE96A" w14:textId="77777777" w:rsidR="009B022D" w:rsidRPr="009B022D" w:rsidRDefault="009B022D" w:rsidP="009B022D">
      <w:pPr>
        <w:jc w:val="both"/>
        <w:rPr>
          <w:rFonts w:ascii="Times" w:eastAsia="Times New Roman" w:hAnsi="Times" w:cs="Times New Roman"/>
          <w:color w:val="000000"/>
          <w:sz w:val="27"/>
          <w:szCs w:val="27"/>
        </w:rPr>
      </w:pPr>
      <w:r w:rsidRPr="009B022D">
        <w:rPr>
          <w:rFonts w:ascii="Helvetica" w:eastAsia="Times New Roman" w:hAnsi="Helvetica" w:cs="Times New Roman"/>
          <w:b/>
          <w:bCs/>
          <w:color w:val="000000"/>
          <w:sz w:val="18"/>
          <w:szCs w:val="18"/>
        </w:rPr>
        <w:t>Property, Plant and Equipment</w:t>
      </w:r>
    </w:p>
    <w:p w14:paraId="67C039DC" w14:textId="77777777" w:rsidR="009B022D" w:rsidRPr="009B022D" w:rsidRDefault="009B022D" w:rsidP="009B022D">
      <w:pPr>
        <w:jc w:val="both"/>
        <w:rPr>
          <w:rFonts w:ascii="Times" w:eastAsia="Times New Roman" w:hAnsi="Times" w:cs="Times New Roman"/>
          <w:color w:val="000000"/>
          <w:sz w:val="27"/>
          <w:szCs w:val="27"/>
        </w:rPr>
      </w:pPr>
      <w:r w:rsidRPr="009B022D">
        <w:rPr>
          <w:rFonts w:ascii="Helvetica" w:eastAsia="Times New Roman" w:hAnsi="Helvetica" w:cs="Times New Roman"/>
          <w:color w:val="000000"/>
          <w:sz w:val="18"/>
          <w:szCs w:val="18"/>
        </w:rPr>
        <w:t>Depreciation on property, plant and equipment is recognized on a straight-line basis over the estimated useful lives of the assets, which for buildings is the lesser of 40 years or the remaining life of the building; between one and five years for machinery and equipment, including product tooling and manufacturing process equipment; and the shorter of lease term or useful life for leasehold improvements. Capitalized costs related to internal-use software are amortized on a straight-line basis over the estimated useful lives of the assets, which range from five to seven years. Depreciation and amortization expense on property and equipment was $9.5 billion, $9.7 billion and $11.3 billion during 2021, 2020 and 2019, respectively.</w:t>
      </w:r>
    </w:p>
    <w:p w14:paraId="5478A029" w14:textId="77777777" w:rsidR="009B022D" w:rsidRPr="009B022D" w:rsidRDefault="009B022D" w:rsidP="009B022D">
      <w:pPr>
        <w:jc w:val="both"/>
        <w:rPr>
          <w:rFonts w:ascii="Times" w:eastAsia="Times New Roman" w:hAnsi="Times" w:cs="Times New Roman"/>
          <w:color w:val="000000"/>
          <w:sz w:val="27"/>
          <w:szCs w:val="27"/>
        </w:rPr>
      </w:pPr>
      <w:r w:rsidRPr="009B022D">
        <w:rPr>
          <w:rFonts w:ascii="Helvetica" w:eastAsia="Times New Roman" w:hAnsi="Helvetica" w:cs="Times New Roman"/>
          <w:color w:val="000000"/>
          <w:sz w:val="18"/>
          <w:szCs w:val="18"/>
        </w:rPr>
        <w:t>Noncash investing activities involving property, plant and equipment resulted in a net decrease to accounts payable and other current liabilities of $2.9 billion during 2019.</w:t>
      </w:r>
    </w:p>
    <w:p w14:paraId="0F54A67D" w14:textId="78B7E815" w:rsidR="001640BE" w:rsidRDefault="001640BE"/>
    <w:p w14:paraId="424F6CB5" w14:textId="7C0A37FD" w:rsidR="00782BC6" w:rsidRDefault="00782BC6"/>
    <w:p w14:paraId="2F12D5C1" w14:textId="009F15DF" w:rsidR="00782BC6" w:rsidRDefault="00782BC6"/>
    <w:p w14:paraId="7216CDCC" w14:textId="6FE1F761" w:rsidR="00782BC6" w:rsidRDefault="00782BC6"/>
    <w:p w14:paraId="4ADC3BC0" w14:textId="7DED03CC" w:rsidR="00782BC6" w:rsidRDefault="00782BC6"/>
    <w:p w14:paraId="08B79B27" w14:textId="06C7EC55" w:rsidR="00782BC6" w:rsidRDefault="00782BC6"/>
    <w:p w14:paraId="3EC21F18" w14:textId="382FA79F" w:rsidR="00782BC6" w:rsidRDefault="00782BC6"/>
    <w:p w14:paraId="173E58AE" w14:textId="4DDCBD7D" w:rsidR="00782BC6" w:rsidRDefault="00782BC6"/>
    <w:p w14:paraId="285E39AE" w14:textId="33866CA3" w:rsidR="00782BC6" w:rsidRDefault="00782BC6">
      <w:hyperlink r:id="rId4" w:history="1">
        <w:r w:rsidRPr="007432E8">
          <w:rPr>
            <w:rStyle w:val="Hyperlink"/>
          </w:rPr>
          <w:t>https://9to5mac.com/2021/05/31/apple-plans-to-invest-even-more-in-retail-stores-despite-online-sales-growth/</w:t>
        </w:r>
      </w:hyperlink>
    </w:p>
    <w:p w14:paraId="53FD8F70" w14:textId="77777777" w:rsidR="00782BC6" w:rsidRDefault="00782BC6"/>
    <w:sectPr w:rsidR="0078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89"/>
    <w:rsid w:val="001640BE"/>
    <w:rsid w:val="00283A16"/>
    <w:rsid w:val="002E0089"/>
    <w:rsid w:val="00381945"/>
    <w:rsid w:val="00756DF4"/>
    <w:rsid w:val="00782BC6"/>
    <w:rsid w:val="009B022D"/>
    <w:rsid w:val="00CC4B6F"/>
    <w:rsid w:val="00EB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0D7C2"/>
  <w15:chartTrackingRefBased/>
  <w15:docId w15:val="{445E66A4-1A7F-1046-808F-2F93957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BC6"/>
    <w:rPr>
      <w:color w:val="0563C1" w:themeColor="hyperlink"/>
      <w:u w:val="single"/>
    </w:rPr>
  </w:style>
  <w:style w:type="character" w:styleId="UnresolvedMention">
    <w:name w:val="Unresolved Mention"/>
    <w:basedOn w:val="DefaultParagraphFont"/>
    <w:uiPriority w:val="99"/>
    <w:semiHidden/>
    <w:unhideWhenUsed/>
    <w:rsid w:val="00782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424">
      <w:bodyDiv w:val="1"/>
      <w:marLeft w:val="0"/>
      <w:marRight w:val="0"/>
      <w:marTop w:val="0"/>
      <w:marBottom w:val="0"/>
      <w:divBdr>
        <w:top w:val="none" w:sz="0" w:space="0" w:color="auto"/>
        <w:left w:val="none" w:sz="0" w:space="0" w:color="auto"/>
        <w:bottom w:val="none" w:sz="0" w:space="0" w:color="auto"/>
        <w:right w:val="none" w:sz="0" w:space="0" w:color="auto"/>
      </w:divBdr>
      <w:divsChild>
        <w:div w:id="731121431">
          <w:marLeft w:val="0"/>
          <w:marRight w:val="0"/>
          <w:marTop w:val="360"/>
          <w:marBottom w:val="0"/>
          <w:divBdr>
            <w:top w:val="none" w:sz="0" w:space="0" w:color="auto"/>
            <w:left w:val="none" w:sz="0" w:space="0" w:color="auto"/>
            <w:bottom w:val="none" w:sz="0" w:space="0" w:color="auto"/>
            <w:right w:val="none" w:sz="0" w:space="0" w:color="auto"/>
          </w:divBdr>
        </w:div>
        <w:div w:id="68892162">
          <w:marLeft w:val="0"/>
          <w:marRight w:val="0"/>
          <w:marTop w:val="120"/>
          <w:marBottom w:val="0"/>
          <w:divBdr>
            <w:top w:val="none" w:sz="0" w:space="0" w:color="auto"/>
            <w:left w:val="none" w:sz="0" w:space="0" w:color="auto"/>
            <w:bottom w:val="none" w:sz="0" w:space="0" w:color="auto"/>
            <w:right w:val="none" w:sz="0" w:space="0" w:color="auto"/>
          </w:divBdr>
        </w:div>
        <w:div w:id="1931692142">
          <w:marLeft w:val="0"/>
          <w:marRight w:val="0"/>
          <w:marTop w:val="360"/>
          <w:marBottom w:val="0"/>
          <w:divBdr>
            <w:top w:val="none" w:sz="0" w:space="0" w:color="auto"/>
            <w:left w:val="none" w:sz="0" w:space="0" w:color="auto"/>
            <w:bottom w:val="none" w:sz="0" w:space="0" w:color="auto"/>
            <w:right w:val="none" w:sz="0" w:space="0" w:color="auto"/>
          </w:divBdr>
        </w:div>
        <w:div w:id="1155603847">
          <w:marLeft w:val="0"/>
          <w:marRight w:val="0"/>
          <w:marTop w:val="120"/>
          <w:marBottom w:val="0"/>
          <w:divBdr>
            <w:top w:val="none" w:sz="0" w:space="0" w:color="auto"/>
            <w:left w:val="none" w:sz="0" w:space="0" w:color="auto"/>
            <w:bottom w:val="none" w:sz="0" w:space="0" w:color="auto"/>
            <w:right w:val="none" w:sz="0" w:space="0" w:color="auto"/>
          </w:divBdr>
        </w:div>
        <w:div w:id="1366832830">
          <w:marLeft w:val="0"/>
          <w:marRight w:val="0"/>
          <w:marTop w:val="360"/>
          <w:marBottom w:val="0"/>
          <w:divBdr>
            <w:top w:val="none" w:sz="0" w:space="0" w:color="auto"/>
            <w:left w:val="none" w:sz="0" w:space="0" w:color="auto"/>
            <w:bottom w:val="none" w:sz="0" w:space="0" w:color="auto"/>
            <w:right w:val="none" w:sz="0" w:space="0" w:color="auto"/>
          </w:divBdr>
        </w:div>
        <w:div w:id="734281893">
          <w:marLeft w:val="0"/>
          <w:marRight w:val="0"/>
          <w:marTop w:val="120"/>
          <w:marBottom w:val="0"/>
          <w:divBdr>
            <w:top w:val="none" w:sz="0" w:space="0" w:color="auto"/>
            <w:left w:val="none" w:sz="0" w:space="0" w:color="auto"/>
            <w:bottom w:val="none" w:sz="0" w:space="0" w:color="auto"/>
            <w:right w:val="none" w:sz="0" w:space="0" w:color="auto"/>
          </w:divBdr>
        </w:div>
        <w:div w:id="560096301">
          <w:marLeft w:val="0"/>
          <w:marRight w:val="0"/>
          <w:marTop w:val="360"/>
          <w:marBottom w:val="0"/>
          <w:divBdr>
            <w:top w:val="none" w:sz="0" w:space="0" w:color="auto"/>
            <w:left w:val="none" w:sz="0" w:space="0" w:color="auto"/>
            <w:bottom w:val="none" w:sz="0" w:space="0" w:color="auto"/>
            <w:right w:val="none" w:sz="0" w:space="0" w:color="auto"/>
          </w:divBdr>
        </w:div>
        <w:div w:id="904729940">
          <w:marLeft w:val="0"/>
          <w:marRight w:val="0"/>
          <w:marTop w:val="120"/>
          <w:marBottom w:val="0"/>
          <w:divBdr>
            <w:top w:val="none" w:sz="0" w:space="0" w:color="auto"/>
            <w:left w:val="none" w:sz="0" w:space="0" w:color="auto"/>
            <w:bottom w:val="none" w:sz="0" w:space="0" w:color="auto"/>
            <w:right w:val="none" w:sz="0" w:space="0" w:color="auto"/>
          </w:divBdr>
        </w:div>
        <w:div w:id="1303120585">
          <w:marLeft w:val="0"/>
          <w:marRight w:val="0"/>
          <w:marTop w:val="360"/>
          <w:marBottom w:val="0"/>
          <w:divBdr>
            <w:top w:val="none" w:sz="0" w:space="0" w:color="auto"/>
            <w:left w:val="none" w:sz="0" w:space="0" w:color="auto"/>
            <w:bottom w:val="none" w:sz="0" w:space="0" w:color="auto"/>
            <w:right w:val="none" w:sz="0" w:space="0" w:color="auto"/>
          </w:divBdr>
        </w:div>
        <w:div w:id="1135488797">
          <w:marLeft w:val="0"/>
          <w:marRight w:val="0"/>
          <w:marTop w:val="120"/>
          <w:marBottom w:val="0"/>
          <w:divBdr>
            <w:top w:val="none" w:sz="0" w:space="0" w:color="auto"/>
            <w:left w:val="none" w:sz="0" w:space="0" w:color="auto"/>
            <w:bottom w:val="none" w:sz="0" w:space="0" w:color="auto"/>
            <w:right w:val="none" w:sz="0" w:space="0" w:color="auto"/>
          </w:divBdr>
        </w:div>
      </w:divsChild>
    </w:div>
    <w:div w:id="96875246">
      <w:bodyDiv w:val="1"/>
      <w:marLeft w:val="0"/>
      <w:marRight w:val="0"/>
      <w:marTop w:val="0"/>
      <w:marBottom w:val="0"/>
      <w:divBdr>
        <w:top w:val="none" w:sz="0" w:space="0" w:color="auto"/>
        <w:left w:val="none" w:sz="0" w:space="0" w:color="auto"/>
        <w:bottom w:val="none" w:sz="0" w:space="0" w:color="auto"/>
        <w:right w:val="none" w:sz="0" w:space="0" w:color="auto"/>
      </w:divBdr>
      <w:divsChild>
        <w:div w:id="109011227">
          <w:marLeft w:val="0"/>
          <w:marRight w:val="0"/>
          <w:marTop w:val="360"/>
          <w:marBottom w:val="0"/>
          <w:divBdr>
            <w:top w:val="none" w:sz="0" w:space="0" w:color="auto"/>
            <w:left w:val="none" w:sz="0" w:space="0" w:color="auto"/>
            <w:bottom w:val="none" w:sz="0" w:space="0" w:color="auto"/>
            <w:right w:val="none" w:sz="0" w:space="0" w:color="auto"/>
          </w:divBdr>
        </w:div>
        <w:div w:id="1872569885">
          <w:marLeft w:val="0"/>
          <w:marRight w:val="0"/>
          <w:marTop w:val="120"/>
          <w:marBottom w:val="0"/>
          <w:divBdr>
            <w:top w:val="none" w:sz="0" w:space="0" w:color="auto"/>
            <w:left w:val="none" w:sz="0" w:space="0" w:color="auto"/>
            <w:bottom w:val="none" w:sz="0" w:space="0" w:color="auto"/>
            <w:right w:val="none" w:sz="0" w:space="0" w:color="auto"/>
          </w:divBdr>
        </w:div>
        <w:div w:id="866867964">
          <w:marLeft w:val="0"/>
          <w:marRight w:val="0"/>
          <w:marTop w:val="240"/>
          <w:marBottom w:val="0"/>
          <w:divBdr>
            <w:top w:val="none" w:sz="0" w:space="0" w:color="auto"/>
            <w:left w:val="none" w:sz="0" w:space="0" w:color="auto"/>
            <w:bottom w:val="none" w:sz="0" w:space="0" w:color="auto"/>
            <w:right w:val="none" w:sz="0" w:space="0" w:color="auto"/>
          </w:divBdr>
        </w:div>
      </w:divsChild>
    </w:div>
    <w:div w:id="500314342">
      <w:bodyDiv w:val="1"/>
      <w:marLeft w:val="0"/>
      <w:marRight w:val="0"/>
      <w:marTop w:val="0"/>
      <w:marBottom w:val="0"/>
      <w:divBdr>
        <w:top w:val="none" w:sz="0" w:space="0" w:color="auto"/>
        <w:left w:val="none" w:sz="0" w:space="0" w:color="auto"/>
        <w:bottom w:val="none" w:sz="0" w:space="0" w:color="auto"/>
        <w:right w:val="none" w:sz="0" w:space="0" w:color="auto"/>
      </w:divBdr>
    </w:div>
    <w:div w:id="1489517917">
      <w:bodyDiv w:val="1"/>
      <w:marLeft w:val="0"/>
      <w:marRight w:val="0"/>
      <w:marTop w:val="0"/>
      <w:marBottom w:val="0"/>
      <w:divBdr>
        <w:top w:val="none" w:sz="0" w:space="0" w:color="auto"/>
        <w:left w:val="none" w:sz="0" w:space="0" w:color="auto"/>
        <w:bottom w:val="none" w:sz="0" w:space="0" w:color="auto"/>
        <w:right w:val="none" w:sz="0" w:space="0" w:color="auto"/>
      </w:divBdr>
      <w:divsChild>
        <w:div w:id="1835296029">
          <w:marLeft w:val="0"/>
          <w:marRight w:val="0"/>
          <w:marTop w:val="360"/>
          <w:marBottom w:val="0"/>
          <w:divBdr>
            <w:top w:val="none" w:sz="0" w:space="0" w:color="auto"/>
            <w:left w:val="none" w:sz="0" w:space="0" w:color="auto"/>
            <w:bottom w:val="none" w:sz="0" w:space="0" w:color="auto"/>
            <w:right w:val="none" w:sz="0" w:space="0" w:color="auto"/>
          </w:divBdr>
        </w:div>
        <w:div w:id="902562404">
          <w:marLeft w:val="0"/>
          <w:marRight w:val="0"/>
          <w:marTop w:val="120"/>
          <w:marBottom w:val="0"/>
          <w:divBdr>
            <w:top w:val="none" w:sz="0" w:space="0" w:color="auto"/>
            <w:left w:val="none" w:sz="0" w:space="0" w:color="auto"/>
            <w:bottom w:val="none" w:sz="0" w:space="0" w:color="auto"/>
            <w:right w:val="none" w:sz="0" w:space="0" w:color="auto"/>
          </w:divBdr>
        </w:div>
        <w:div w:id="1022510814">
          <w:marLeft w:val="0"/>
          <w:marRight w:val="0"/>
          <w:marTop w:val="240"/>
          <w:marBottom w:val="0"/>
          <w:divBdr>
            <w:top w:val="none" w:sz="0" w:space="0" w:color="auto"/>
            <w:left w:val="none" w:sz="0" w:space="0" w:color="auto"/>
            <w:bottom w:val="none" w:sz="0" w:space="0" w:color="auto"/>
            <w:right w:val="none" w:sz="0" w:space="0" w:color="auto"/>
          </w:divBdr>
        </w:div>
      </w:divsChild>
    </w:div>
    <w:div w:id="2021160787">
      <w:bodyDiv w:val="1"/>
      <w:marLeft w:val="0"/>
      <w:marRight w:val="0"/>
      <w:marTop w:val="0"/>
      <w:marBottom w:val="0"/>
      <w:divBdr>
        <w:top w:val="none" w:sz="0" w:space="0" w:color="auto"/>
        <w:left w:val="none" w:sz="0" w:space="0" w:color="auto"/>
        <w:bottom w:val="none" w:sz="0" w:space="0" w:color="auto"/>
        <w:right w:val="none" w:sz="0" w:space="0" w:color="auto"/>
      </w:divBdr>
      <w:divsChild>
        <w:div w:id="1425149721">
          <w:marLeft w:val="0"/>
          <w:marRight w:val="0"/>
          <w:marTop w:val="360"/>
          <w:marBottom w:val="0"/>
          <w:divBdr>
            <w:top w:val="none" w:sz="0" w:space="0" w:color="auto"/>
            <w:left w:val="none" w:sz="0" w:space="0" w:color="auto"/>
            <w:bottom w:val="none" w:sz="0" w:space="0" w:color="auto"/>
            <w:right w:val="none" w:sz="0" w:space="0" w:color="auto"/>
          </w:divBdr>
        </w:div>
        <w:div w:id="97414146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9to5mac.com/2021/05/31/apple-plans-to-invest-even-more-in-retail-stores-despite-online-sales-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Susser, Julia Evelyn</dc:creator>
  <cp:keywords/>
  <dc:description/>
  <cp:lastModifiedBy>Susser, Julia Evelyn</cp:lastModifiedBy>
  <cp:revision>5</cp:revision>
  <dcterms:created xsi:type="dcterms:W3CDTF">2022-08-06T13:03:00Z</dcterms:created>
  <dcterms:modified xsi:type="dcterms:W3CDTF">2022-08-07T18:24:00Z</dcterms:modified>
</cp:coreProperties>
</file>