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i9otc61bm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Заметки к занятию 2. 05.11.2024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занятии мы сосредоточимся на работе с отношениями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hasOne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, политиками (policies) и ресурсами (resources) в Laravel.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pkdtwvoi3lj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Работа с отношениями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hasOne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hasMany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Laravel предоставляет удобные методы для работы с отношениями между моделями. Вот основные примеры использования.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Связь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Отношение «один к одному»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hasOne</w:t>
      </w:r>
      <w:r w:rsidDel="00000000" w:rsidR="00000000" w:rsidRPr="00000000">
        <w:rPr>
          <w:rtl w:val="0"/>
        </w:rPr>
        <w:t xml:space="preserve">) используется, когда одна запись в таблице может быть связана с одной записью в другой таблице.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Например, если у нас есть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и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, где каждому пользователю соответствует один профиль, мы можем определить отношение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hasOne</w:t>
      </w:r>
      <w:r w:rsidDel="00000000" w:rsidR="00000000" w:rsidRPr="00000000">
        <w:rPr>
          <w:rtl w:val="0"/>
        </w:rPr>
        <w:t xml:space="preserve"> в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extends Model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profile()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$this-&gt;hasOne(Profile::class);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Связь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Отношение «один ко многим»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) используется, когда одна запись в таблице может иметь множество связанных записей в другой таблице.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Например, у каждого пользователя может быть много статей (articles), тогда в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мы можем определить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extends Model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articles()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$this-&gt;hasMany(Article::class);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dbfgyqn1x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Создание миграций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Миграции позволяют определять и изменять структуру базы данных с помощью кода, что облегчает управление изменениями в базе данных.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Создание новой миграции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Команда для создания новой миграции, например, для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gagarin_flights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make:migration create_gagarin_flights_table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Это создаст файл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database/migrations</w:t>
      </w:r>
      <w:r w:rsidDel="00000000" w:rsidR="00000000" w:rsidRPr="00000000">
        <w:rPr>
          <w:rtl w:val="0"/>
        </w:rPr>
        <w:t xml:space="preserve">, где можно определить структуру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gagarin_flights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23n756ihk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Ресурсы (Resources)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Ресурсы Laravel позволяют форматировать данные перед отправкой их в API или в клиентское приложение, благодаря чему можно легко контролировать структуру ответа.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Создание ресурса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Чтобы создать ресурс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LunarMissionResource</w:t>
      </w:r>
      <w:r w:rsidDel="00000000" w:rsidR="00000000" w:rsidRPr="00000000">
        <w:rPr>
          <w:rtl w:val="0"/>
        </w:rPr>
        <w:t xml:space="preserve">, выполните команду: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make:resource LunarMissionResource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Ресурс создается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app/Http/Resources</w:t>
      </w:r>
      <w:r w:rsidDel="00000000" w:rsidR="00000000" w:rsidRPr="00000000">
        <w:rPr>
          <w:rtl w:val="0"/>
        </w:rPr>
        <w:t xml:space="preserve">. Он позволяет настроить, какие данные и в каком виде будут возвращаться клиенту.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использования в ресурсе: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LunarMissionResource extends JsonResource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toArray($request)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[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'id' =&gt; $this-&gt;id,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'name' =&gt; $this-&gt;name,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'launch_date' =&gt; $this-&gt;launch_date,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'status' =&gt; $this-&gt;status,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];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msg0z414z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Политики (Policies)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Политики Laravel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policies</w:t>
      </w:r>
      <w:r w:rsidDel="00000000" w:rsidR="00000000" w:rsidRPr="00000000">
        <w:rPr>
          <w:rtl w:val="0"/>
        </w:rPr>
        <w:t xml:space="preserve">) позволяют контролировать доступ к определенным действиям в приложении, например, разрешить пользователю редактировать или удалять ресурсы.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Создание политики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Политики обычно создаются для моделей. Например, чтобы создать политику для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выполните команду: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make:policy PostPolicy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Политика будет создана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app/Policies</w:t>
      </w:r>
      <w:r w:rsidDel="00000000" w:rsidR="00000000" w:rsidRPr="00000000">
        <w:rPr>
          <w:rtl w:val="0"/>
        </w:rPr>
        <w:t xml:space="preserve">, и в ней можно определить методы для различных разрешений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метода в политике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PostPolicy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PostPolicy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update(User $user, Post $post)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$user-&gt;id === $post-&gt;user_id;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Здесь проверяется, что только автор поста может его обновить.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Применение политики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После создания политики нужно зарегистрировать ее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AuthServiceProvider</w:t>
      </w:r>
      <w:r w:rsidDel="00000000" w:rsidR="00000000" w:rsidRPr="00000000">
        <w:rPr>
          <w:rtl w:val="0"/>
        </w:rPr>
        <w:t xml:space="preserve">, чтобы Laravel знал, какую политику применять к модели: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 $policies = [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Post::class =&gt; PostPolicy::class,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ud7w416pra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Работа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Postman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работе с API можно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для отправки запросов и тестирования ответов. Если для авторизации используется токен, его можно сохранить в переменной окружения для последующих запросов: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pm.environment.set("token", pm.response.json().token);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позволяет автоматизировать передачу токена в заголовке запроса, делая процесс тестирования API более удобным.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