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Estamos desarrollando una plataforma online pensada para profesionales de la audición. En este sitio, vas a poder: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Ingresar un estímulo sonoro</w:t>
      </w:r>
      <w:r w:rsidDel="00000000" w:rsidR="00000000" w:rsidRPr="00000000">
        <w:rPr>
          <w:rtl w:val="0"/>
        </w:rPr>
        <w:t xml:space="preserve"> (por ejemplo: un tono modulado, una palabra, o ruido controlado).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Cargar el audiograma del paciente</w:t>
      </w:r>
      <w:r w:rsidDel="00000000" w:rsidR="00000000" w:rsidRPr="00000000">
        <w:rPr>
          <w:rtl w:val="0"/>
        </w:rPr>
        <w:t xml:space="preserve"> (o su perfil de pérdida auditiva).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Ejecutar una simulación auditiva</w:t>
      </w:r>
      <w:r w:rsidDel="00000000" w:rsidR="00000000" w:rsidRPr="00000000">
        <w:rPr>
          <w:rtl w:val="0"/>
        </w:rPr>
        <w:t xml:space="preserve"> que reproduce cómo respondería el sistema auditivo de esa persona.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te va a devolver: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EFR (Envelope Following Response)</w:t>
      </w:r>
      <w:r w:rsidDel="00000000" w:rsidR="00000000" w:rsidRPr="00000000">
        <w:rPr>
          <w:rtl w:val="0"/>
        </w:rPr>
        <w:t xml:space="preserve">: una medida que refleja cómo el oído y el cerebro siguen la envolvente del sonido.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claros e interactivos</w:t>
      </w:r>
      <w:r w:rsidDel="00000000" w:rsidR="00000000" w:rsidRPr="00000000">
        <w:rPr>
          <w:rtl w:val="0"/>
        </w:rPr>
        <w:t xml:space="preserve"> que muestran las respuestas auditivas simuladas.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cuenta con un </w:t>
      </w:r>
      <w:r w:rsidDel="00000000" w:rsidR="00000000" w:rsidRPr="00000000">
        <w:rPr>
          <w:b w:val="1"/>
          <w:bCs w:val="1"/>
          <w:rtl w:val="0"/>
        </w:rPr>
        <w:t xml:space="preserve">módulo de análisis automático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módulo compara los resultados de tus pacientes con </w:t>
      </w:r>
      <w:r w:rsidDel="00000000" w:rsidR="00000000" w:rsidRPr="00000000">
        <w:rPr>
          <w:b w:val="1"/>
          <w:bCs w:val="1"/>
          <w:rtl w:val="0"/>
        </w:rPr>
        <w:t xml:space="preserve">estudios científicos publicados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Podés subir tus propios artículos o usar los que ya están disponibles en la base del laboratorio.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te ayuda a interpretar los resultados en relación con la evidencia científica.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como el laboratorio es </w:t>
      </w:r>
      <w:r w:rsidDel="00000000" w:rsidR="00000000" w:rsidRPr="00000000">
        <w:rPr>
          <w:b w:val="1"/>
          <w:bCs w:val="1"/>
          <w:rtl w:val="0"/>
        </w:rPr>
        <w:t xml:space="preserve">colaborativo</w:t>
      </w:r>
      <w:r w:rsidDel="00000000" w:rsidR="00000000" w:rsidRPr="00000000">
        <w:rPr>
          <w:rtl w:val="0"/>
        </w:rPr>
        <w:t xml:space="preserve">, vas a poder: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Compartir estudios y simulaciones</w:t>
      </w:r>
      <w:r w:rsidDel="00000000" w:rsidR="00000000" w:rsidRPr="00000000">
        <w:rPr>
          <w:rtl w:val="0"/>
        </w:rPr>
        <w:t xml:space="preserve"> con colegas.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 resultados entre distintos pacientes o investigaciones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etapa 1, no necesitamos todavía la investigación teórica de terapias regenerativas ni CompuCell3D. Lo más útil y coherente son estudios que validen, interpreten o comparen directamente las salidas del modelo (EFR, ABR, respuestas neurales, speech-in-noise).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LLM podrá hacer cosas muy potentes: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EFR simulado a 4 kHz con 40 dB pérdida es 30 % más bajo que el promedio normativo de este estudio de 2023”.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7qmtstwyl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estudios que conviene incluir desde el comienzo (ordenados por utilidad)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de validación del propio modelo Verhulst/CoNNear con EFR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el usuario ve “mi simulación coincide (o no) con lo que ya publicó el grupo de Sarah Verhulst”.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 clave:</w:t>
        <w:br w:type="textWrapping"/>
        <w:t xml:space="preserve"> 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 Der Biest et al. (2023) – “Envelope following responses for hearing diagnosis” (usa el modelo para simular CS y OHC damage y compara con humanos). 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Vasilkov et al. (2021) – “Enhancing the sensitivity of the envelope-following response for cochlear synaptopathy screening”. 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Encina-Llamas et al. (2021) – Derived-band EFR y sensibilidad a déficits sensorineurales. </w:t>
      </w:r>
    </w:p>
    <w:p w:rsidR="00000000" w:rsidDel="00000000" w:rsidP="00000000" w:rsidRDefault="00000000" w:rsidRPr="00000000" w14:paraId="00000019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clínicos de EFR en humanos (normales vs. pérdida auditiva)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benchmark directo (simulado vs. real).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</w:t>
        <w:br w:type="textWrapping"/>
        <w:t xml:space="preserve"> 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Mepani et al. (2021) – EFR predice speech-in-noise performance. 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Keshishzadeh et al. (2020) – Derived-band EFR. 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MedRxiv 2025 – “Use of Envelope Following Response Normative Ranges for Diagnosing Cochlear Deafferentation”. </w:t>
      </w:r>
    </w:p>
    <w:p w:rsidR="00000000" w:rsidDel="00000000" w:rsidP="00000000" w:rsidRDefault="00000000" w:rsidRPr="00000000" w14:paraId="00000020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sobre cochlear synaptopathy / hidden hearing loss y EFR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el modelo Verhulst es excelente simulando pérdida de sinapsis (no solo umbrales).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Estos papers son oro para que el LLM diga “tu EFR bajo en niveles medios sugiere synaptopathy”. 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metodológicos de EFR (cómo registrar, analizar, estímulos óptimos)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el usuario podrá entender por qué su simulación da cierto valor y cómo mejorar el input. 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Incluyen estímulos AM rectangulares, tasas de modulación, análisis de amplitud, etc. 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de speech-in-noise y EFR</w:t>
      </w:r>
      <w:r w:rsidDel="00000000" w:rsidR="00000000" w:rsidRPr="00000000">
        <w:rPr>
          <w:rtl w:val="0"/>
        </w:rPr>
        <w:t xml:space="preserve"> (percepción en ruido)</w:t>
        <w:br w:type="textWrapping"/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conecta directamente la salida EFR con una métrica clínica que importa en fonoaudiología. 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Datos normativos y de envejecimiento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permite al LLM decir “tu simulación de un paciente de 65 años está dentro/fuera del rango normativo”.</w:t>
        <w:br w:type="textWrapping"/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Idea de una IA para la investigación.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Hipótesis principal (H1):</w:t>
        <w:br w:type="textWrapping"/>
        <w:t xml:space="preserve"> La implementación de un sistema automático basado en Semantic Scholar API + IA en la nube (Grok/Claude/GPT-4o-mini) que propone papers nuevos cada 7–14 días permitirá mantener la base de conocimiento del laboratorio virtual actualizada con artículos relevantes de forma más eficiente y con menor esfuerzo humano que un proceso manual o pasivo.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recomendado (más robusto y barato):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7–14 días (o bajo demanda) el servidor ejecuta un script Python que:</w:t>
        <w:br w:type="textWrapping"/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Semantic Scholar API para buscar papers nuevos con palabras clave relacionadas con Verhulst/CoNNear/EFR/synaptopathy. 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 por fecha (últimos 30–90 días) y relevancia. 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Envía los candidatos a una IA en la nube (preferentemente Grok, Claude o GPT-4o-mini por costo) con un prompt muy estructurado que evalúa relevancia.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IA devuelve una lista de 5–10 candidatos con puntuación + resumen corto. 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muestra en la interfaz una pantalla de “Papers sugeridos” donde cada usuario (o moderador) puede aceptar/rechazar con un botón.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aceptar: se descarga el PDF (si está abierto), se embebe, se agrega a la base vectorial RAG y se notifica a todos los usuarios.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Idea de mejorar el modelo de Verhulst.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Hipótesis principal (H1):</w:t>
        <w:br w:type="textWrapping"/>
        <w:t xml:space="preserve"> La visualización gráfica interactiva de los estados internos del modelo Verhulst/CoNNear (vibración de membrana basilar, potencial receptor IHC, liberación sináptica, tasas de disparo AN y EFR final) permitirá a los usuarios comprender con mayor profundidad los mecanismos fisiológicos subyacentes a la simulación y mejorar su capacidad de análisis clínico y educativo en comparación con la visualización tradicional que solo muestra el EFR final.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recomendado (robusto y práctico)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del modelo (una sola vez)</w:t>
      </w:r>
      <w:r w:rsidDel="00000000" w:rsidR="00000000" w:rsidRPr="00000000">
        <w:rPr>
          <w:rtl w:val="0"/>
        </w:rPr>
        <w:t xml:space="preserve"> Se modifica ligeramente el código fuente de Verhulstetal2018Model para que, cuando se ejecute la simulación, pueda devolver </w:t>
      </w:r>
      <w:r w:rsidDel="00000000" w:rsidR="00000000" w:rsidRPr="00000000">
        <w:rPr>
          <w:b w:val="1"/>
          <w:bCs w:val="1"/>
          <w:rtl w:val="0"/>
        </w:rPr>
        <w:t xml:space="preserve">todos los estados intermedios clave</w:t>
      </w:r>
      <w:r w:rsidDel="00000000" w:rsidR="00000000" w:rsidRPr="00000000">
        <w:rPr>
          <w:rtl w:val="0"/>
        </w:rPr>
        <w:t xml:space="preserve"> (usando un flag return_intermediates=True). Los estados seleccionados son:</w:t>
        <w:br w:type="textWrapping"/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Vibración de la membrana basilar (BM displacement y velocity por canal tonotópico)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Potencial receptor de las células ciliadas internas (IHC receptor potential) 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Probabilidad de liberación sináptica 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Tasas de disparo de fibras del nervio auditivo (AN firing rates por tipo de fibra: alta/media/baja) 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Señal final de EFR 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Ejecución de la simulación</w:t>
      </w:r>
      <w:r w:rsidDel="00000000" w:rsidR="00000000" w:rsidRPr="00000000">
        <w:rPr>
          <w:rtl w:val="0"/>
        </w:rPr>
        <w:t xml:space="preserve"> El usuario ingresa el estímulo + audiograma (igual que ahora). El servidor ejecuta el modelo con el flag activado y guarda los estados intermedios en formato eficiente (HDF5 o NumPy arrays comprimidos + metadata JSON).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temporal</w:t>
      </w:r>
      <w:r w:rsidDel="00000000" w:rsidR="00000000" w:rsidRPr="00000000">
        <w:rPr>
          <w:rtl w:val="0"/>
        </w:rPr>
        <w:t xml:space="preserve"> Los datos intermedios se guardan asociados a esa simulación concreta (no se almacenan permanentemente para ahorrar espacio). Duración: mientras el usuario tenga la simulación abierta o hasta 24 h. 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gráfica interactiva</w:t>
      </w:r>
      <w:r w:rsidDel="00000000" w:rsidR="00000000" w:rsidRPr="00000000">
        <w:rPr>
          <w:rtl w:val="0"/>
        </w:rPr>
        <w:t xml:space="preserve"> Se muestra en una nueva pestaña del laboratorio llamada </w:t>
      </w:r>
      <w:r w:rsidDel="00000000" w:rsidR="00000000" w:rsidRPr="00000000">
        <w:rPr>
          <w:b w:val="1"/>
          <w:bCs w:val="1"/>
          <w:rtl w:val="0"/>
        </w:rPr>
        <w:t xml:space="preserve">“Estados Internos – Caja de Cristal”</w:t>
      </w:r>
      <w:r w:rsidDel="00000000" w:rsidR="00000000" w:rsidRPr="00000000">
        <w:rPr>
          <w:rtl w:val="0"/>
        </w:rPr>
        <w:t xml:space="preserve"> con una interfaz limpia y tabulada:</w:t>
        <w:br w:type="textWrapping"/>
        <w:t xml:space="preserve">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1: Cóclea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Animación o heatmap tonotópico de la vibración de la membrana basilar (con slider de tiempo).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2: Células ciliadas internas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Curva temporal del potencial receptor. 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3: Sinapsis y nervio auditivo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Tasas de disparo por tipo de fibra y liberación sináptica.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4: EFR final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Comparación con la salida clásica. Todas las gráficas son interactivas (zoom, hover, exportar imagen).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Análisis automático con LLM</w:t>
      </w:r>
      <w:r w:rsidDel="00000000" w:rsidR="00000000" w:rsidRPr="00000000">
        <w:rPr>
          <w:rtl w:val="0"/>
        </w:rPr>
        <w:t xml:space="preserve"> Los datos intermedios se envían al LLM del laboratorio (junto con el EFR final) para que genere automáticamente un informe explicativo del tipo NotebookLM: “El EFR es bajo porque la vibración en la región de 4 kHz es débil debido a la pérdida de ganancia coclear (OHC damage). La liberación sináptica en fibras de baja tasa espontánea está muy reducida, lo que coincide con patrones de synaptopathy.”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 avanzadas y colaboración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“Guardar esta visualización” para compartir la simulación completa con otros usuarios. 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Opción “Comparar con simulación anterior” (superponer dos corridas).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Modo “lite” (solo curvas estáticas) y modo “full” (animaciones) para no saturar el navegador.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