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E46FF" w14:textId="60A1C080" w:rsidR="00B53DFD" w:rsidRPr="00B53DFD" w:rsidRDefault="00B53D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DFD">
        <w:rPr>
          <w:rFonts w:ascii="Times New Roman" w:hAnsi="Times New Roman" w:cs="Times New Roman"/>
          <w:b/>
          <w:bCs/>
          <w:sz w:val="24"/>
          <w:szCs w:val="24"/>
        </w:rPr>
        <w:t xml:space="preserve">Wykresy zmian cen </w:t>
      </w:r>
    </w:p>
    <w:p w14:paraId="234268D2" w14:textId="49343D01" w:rsidR="00080A44" w:rsidRDefault="00080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 AMLP</w:t>
      </w:r>
    </w:p>
    <w:p w14:paraId="697331BA" w14:textId="6C636023" w:rsidR="00080A44" w:rsidRDefault="00080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C1EEC" wp14:editId="68C84EB7">
            <wp:extent cx="5435879" cy="2571882"/>
            <wp:effectExtent l="0" t="0" r="0" b="0"/>
            <wp:docPr id="990403122" name="Obraz 1" descr="Obraz zawierający tekst, Czcionka, pismo odręczn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03122" name="Obraz 1" descr="Obraz zawierający tekst, Czcionka, pismo odręczne, linia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178B" w14:textId="5CAACBC7" w:rsidR="00080A44" w:rsidRDefault="00080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Wykres </w:t>
      </w:r>
      <w:r w:rsidR="00B91549">
        <w:rPr>
          <w:rFonts w:ascii="Times New Roman" w:hAnsi="Times New Roman" w:cs="Times New Roman"/>
          <w:sz w:val="24"/>
          <w:szCs w:val="24"/>
        </w:rPr>
        <w:t>euro</w:t>
      </w:r>
    </w:p>
    <w:p w14:paraId="5C5C711E" w14:textId="1E690525" w:rsidR="00080A44" w:rsidRDefault="00B91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72D4A" wp14:editId="0416B8E4">
            <wp:extent cx="5454930" cy="2597283"/>
            <wp:effectExtent l="0" t="0" r="0" b="0"/>
            <wp:docPr id="1301131572" name="Obraz 2" descr="Obraz zawierający Czcionka, tekst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31572" name="Obraz 2" descr="Obraz zawierający Czcionka, tekst, zrzut ekranu, lini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E812" w14:textId="32FA170D" w:rsidR="00080A44" w:rsidRDefault="00B91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 CCC</w:t>
      </w:r>
    </w:p>
    <w:p w14:paraId="73777A22" w14:textId="0284CE2A" w:rsidR="00B91549" w:rsidRDefault="00B91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E5D1F6" wp14:editId="5929C386">
            <wp:extent cx="5473981" cy="2597283"/>
            <wp:effectExtent l="0" t="0" r="0" b="0"/>
            <wp:docPr id="1825434476" name="Obraz 3" descr="Obraz zawierający tekst, Czcionka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34476" name="Obraz 3" descr="Obraz zawierający tekst, Czcionka, linia, Wykres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8743" w14:textId="59543DF4" w:rsidR="00080A44" w:rsidRDefault="00B91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Wykres </w:t>
      </w:r>
      <w:r w:rsidR="00DE769D">
        <w:rPr>
          <w:rFonts w:ascii="Times New Roman" w:hAnsi="Times New Roman" w:cs="Times New Roman"/>
          <w:sz w:val="24"/>
          <w:szCs w:val="24"/>
        </w:rPr>
        <w:t>złoto</w:t>
      </w:r>
    </w:p>
    <w:p w14:paraId="2A09F234" w14:textId="677CA47E" w:rsidR="00DE769D" w:rsidRDefault="00DE7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F760D" wp14:editId="657029AF">
            <wp:extent cx="5454930" cy="2571882"/>
            <wp:effectExtent l="0" t="0" r="0" b="0"/>
            <wp:docPr id="483539139" name="Obraz 4" descr="Obraz zawierający tekst, zrzut ekranu, Czcionk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39139" name="Obraz 4" descr="Obraz zawierający tekst, zrzut ekranu, Czcionka, Wykres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7FBD" w14:textId="3854BD00" w:rsidR="009E0420" w:rsidRPr="00B53DFD" w:rsidRDefault="006C534F">
      <w:pPr>
        <w:rPr>
          <w:rFonts w:ascii="Times New Roman" w:hAnsi="Times New Roman" w:cs="Times New Roman"/>
          <w:sz w:val="24"/>
          <w:szCs w:val="24"/>
        </w:rPr>
      </w:pPr>
      <w:r w:rsidRPr="00B53DFD">
        <w:rPr>
          <w:rFonts w:ascii="Times New Roman" w:hAnsi="Times New Roman" w:cs="Times New Roman"/>
          <w:sz w:val="24"/>
          <w:szCs w:val="24"/>
        </w:rPr>
        <w:t>Analizując powyższe wykresy, można zauważyć, że najmniejsze zmiany cen w badanym okresie odnotowano w kursie waluty euro. Maksymalny wzrost ceny wyniósł 5,2%, a maksymalny spadek -3,71%. Zakres zmian cen równał się zatem 8,91</w:t>
      </w:r>
      <w:r w:rsidR="00936989" w:rsidRPr="00B5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89" w:rsidRPr="00B53DFD">
        <w:rPr>
          <w:rFonts w:ascii="Times New Roman" w:hAnsi="Times New Roman" w:cs="Times New Roman"/>
          <w:sz w:val="24"/>
          <w:szCs w:val="24"/>
        </w:rPr>
        <w:t>p.p</w:t>
      </w:r>
      <w:proofErr w:type="spellEnd"/>
      <w:r w:rsidRPr="00B53DFD">
        <w:rPr>
          <w:rFonts w:ascii="Times New Roman" w:hAnsi="Times New Roman" w:cs="Times New Roman"/>
          <w:sz w:val="24"/>
          <w:szCs w:val="24"/>
        </w:rPr>
        <w:t>.</w:t>
      </w:r>
      <w:r w:rsidR="00057C98">
        <w:rPr>
          <w:rFonts w:ascii="Times New Roman" w:hAnsi="Times New Roman" w:cs="Times New Roman"/>
          <w:sz w:val="24"/>
          <w:szCs w:val="24"/>
        </w:rPr>
        <w:t xml:space="preserve"> </w:t>
      </w:r>
      <w:r w:rsidR="009E0420" w:rsidRPr="00B53DFD">
        <w:rPr>
          <w:rFonts w:ascii="Times New Roman" w:hAnsi="Times New Roman" w:cs="Times New Roman"/>
          <w:sz w:val="24"/>
          <w:szCs w:val="24"/>
        </w:rPr>
        <w:t xml:space="preserve">Największymi </w:t>
      </w:r>
      <w:r w:rsidR="006F1C36" w:rsidRPr="00B53DFD">
        <w:rPr>
          <w:rFonts w:ascii="Times New Roman" w:hAnsi="Times New Roman" w:cs="Times New Roman"/>
          <w:sz w:val="24"/>
          <w:szCs w:val="24"/>
        </w:rPr>
        <w:t>wahaniami</w:t>
      </w:r>
      <w:r w:rsidR="009E0420" w:rsidRPr="00B53DFD">
        <w:rPr>
          <w:rFonts w:ascii="Times New Roman" w:hAnsi="Times New Roman" w:cs="Times New Roman"/>
          <w:sz w:val="24"/>
          <w:szCs w:val="24"/>
        </w:rPr>
        <w:t xml:space="preserve"> cen charakteryzowały się akcje spółki CCC. Maksymalny </w:t>
      </w:r>
      <w:r w:rsidR="009E0420" w:rsidRPr="00B53DFD">
        <w:rPr>
          <w:rFonts w:ascii="Times New Roman" w:hAnsi="Times New Roman" w:cs="Times New Roman"/>
          <w:sz w:val="24"/>
          <w:szCs w:val="24"/>
        </w:rPr>
        <w:t>odnotowany</w:t>
      </w:r>
      <w:r w:rsidR="009E0420" w:rsidRPr="00B53DFD">
        <w:rPr>
          <w:rFonts w:ascii="Times New Roman" w:hAnsi="Times New Roman" w:cs="Times New Roman"/>
          <w:sz w:val="24"/>
          <w:szCs w:val="24"/>
        </w:rPr>
        <w:t xml:space="preserve"> wzrost cen to 54,73%. Z kolei maksymalny spadek równał się -87,54%. Zakres zmian wyniósł 142,27</w:t>
      </w:r>
      <w:r w:rsidR="00936989" w:rsidRPr="00B5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89" w:rsidRPr="00B53DFD">
        <w:rPr>
          <w:rFonts w:ascii="Times New Roman" w:hAnsi="Times New Roman" w:cs="Times New Roman"/>
          <w:sz w:val="24"/>
          <w:szCs w:val="24"/>
        </w:rPr>
        <w:t>p.p</w:t>
      </w:r>
      <w:proofErr w:type="spellEnd"/>
      <w:r w:rsidR="009E0420" w:rsidRPr="00B53DFD">
        <w:rPr>
          <w:rFonts w:ascii="Times New Roman" w:hAnsi="Times New Roman" w:cs="Times New Roman"/>
          <w:sz w:val="24"/>
          <w:szCs w:val="24"/>
        </w:rPr>
        <w:t xml:space="preserve">. Porównując te dwie inwestycje można zauważyć, że najwyższy wzrost cen akcji CCC był 10,5 razy wyższy niż wzrost cen waluty euro. Z kolei </w:t>
      </w:r>
      <w:r w:rsidR="0003252F" w:rsidRPr="00B53DFD">
        <w:rPr>
          <w:rFonts w:ascii="Times New Roman" w:hAnsi="Times New Roman" w:cs="Times New Roman"/>
          <w:sz w:val="24"/>
          <w:szCs w:val="24"/>
        </w:rPr>
        <w:t xml:space="preserve">maksymalny spadek cen akcji CCC wyniósł 23,6 razy więcej niż spadek cen waluty euro. </w:t>
      </w:r>
    </w:p>
    <w:p w14:paraId="09CE3B77" w14:textId="11D3A83F" w:rsidR="006F1C36" w:rsidRPr="00B53DFD" w:rsidRDefault="006F1C36">
      <w:pPr>
        <w:rPr>
          <w:rFonts w:ascii="Times New Roman" w:hAnsi="Times New Roman" w:cs="Times New Roman"/>
          <w:sz w:val="24"/>
          <w:szCs w:val="24"/>
        </w:rPr>
      </w:pPr>
      <w:r w:rsidRPr="00B53DFD">
        <w:rPr>
          <w:rFonts w:ascii="Times New Roman" w:hAnsi="Times New Roman" w:cs="Times New Roman"/>
          <w:sz w:val="24"/>
          <w:szCs w:val="24"/>
        </w:rPr>
        <w:t>Kolejną w przeprowadzonej analizie inwestycją są akcje funduszu AMLP. Zakres ich zmian wyniósł 106,18</w:t>
      </w:r>
      <w:r w:rsidR="00936989" w:rsidRPr="00B5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89" w:rsidRPr="00B53DFD">
        <w:rPr>
          <w:rFonts w:ascii="Times New Roman" w:hAnsi="Times New Roman" w:cs="Times New Roman"/>
          <w:sz w:val="24"/>
          <w:szCs w:val="24"/>
        </w:rPr>
        <w:t>p.p</w:t>
      </w:r>
      <w:proofErr w:type="spellEnd"/>
      <w:r w:rsidRPr="00B53DFD">
        <w:rPr>
          <w:rFonts w:ascii="Times New Roman" w:hAnsi="Times New Roman" w:cs="Times New Roman"/>
          <w:sz w:val="24"/>
          <w:szCs w:val="24"/>
        </w:rPr>
        <w:t>. M</w:t>
      </w:r>
      <w:r w:rsidRPr="00B53DFD">
        <w:rPr>
          <w:rFonts w:ascii="Times New Roman" w:hAnsi="Times New Roman" w:cs="Times New Roman"/>
          <w:sz w:val="24"/>
          <w:szCs w:val="24"/>
        </w:rPr>
        <w:t>aksymalny</w:t>
      </w:r>
      <w:r w:rsidRPr="00B53DFD">
        <w:rPr>
          <w:rFonts w:ascii="Times New Roman" w:hAnsi="Times New Roman" w:cs="Times New Roman"/>
          <w:sz w:val="24"/>
          <w:szCs w:val="24"/>
        </w:rPr>
        <w:t xml:space="preserve"> odnotowany wzrost ceny akcji to 39,96%, a ich maksymalny spadek ukształtował się na poziomie -66,22%. Z kolei zakres zmian ostatniej inwestycji </w:t>
      </w:r>
      <w:r w:rsidR="00573721" w:rsidRPr="00B53DFD">
        <w:rPr>
          <w:rFonts w:ascii="Times New Roman" w:hAnsi="Times New Roman" w:cs="Times New Roman"/>
          <w:sz w:val="24"/>
          <w:szCs w:val="24"/>
        </w:rPr>
        <w:t xml:space="preserve">(złoto) </w:t>
      </w:r>
      <w:r w:rsidRPr="00B53DFD">
        <w:rPr>
          <w:rFonts w:ascii="Times New Roman" w:hAnsi="Times New Roman" w:cs="Times New Roman"/>
          <w:sz w:val="24"/>
          <w:szCs w:val="24"/>
        </w:rPr>
        <w:t>w analizowanym portfelu wyniósł 18,16</w:t>
      </w:r>
      <w:r w:rsidR="00936989" w:rsidRPr="00B5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89" w:rsidRPr="00B53DFD">
        <w:rPr>
          <w:rFonts w:ascii="Times New Roman" w:hAnsi="Times New Roman" w:cs="Times New Roman"/>
          <w:sz w:val="24"/>
          <w:szCs w:val="24"/>
        </w:rPr>
        <w:t>p.p</w:t>
      </w:r>
      <w:proofErr w:type="spellEnd"/>
      <w:r w:rsidRPr="00B53DFD">
        <w:rPr>
          <w:rFonts w:ascii="Times New Roman" w:hAnsi="Times New Roman" w:cs="Times New Roman"/>
          <w:sz w:val="24"/>
          <w:szCs w:val="24"/>
        </w:rPr>
        <w:t>. Maksymalny wzrost ce</w:t>
      </w:r>
      <w:r w:rsidR="00235E99" w:rsidRPr="00B53DFD">
        <w:rPr>
          <w:rFonts w:ascii="Times New Roman" w:hAnsi="Times New Roman" w:cs="Times New Roman"/>
          <w:sz w:val="24"/>
          <w:szCs w:val="24"/>
        </w:rPr>
        <w:t xml:space="preserve">n </w:t>
      </w:r>
      <w:r w:rsidR="00573721" w:rsidRPr="00B53DFD">
        <w:rPr>
          <w:rFonts w:ascii="Times New Roman" w:hAnsi="Times New Roman" w:cs="Times New Roman"/>
          <w:sz w:val="24"/>
          <w:szCs w:val="24"/>
        </w:rPr>
        <w:t xml:space="preserve">to 10,05%, natomiast maksymalny spadek wyniósł -8,11%. </w:t>
      </w:r>
      <w:r w:rsidR="00A64C86" w:rsidRPr="00B53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1AC5E" w14:textId="6233122D" w:rsidR="00573721" w:rsidRDefault="00573721">
      <w:pPr>
        <w:rPr>
          <w:rFonts w:ascii="Times New Roman" w:hAnsi="Times New Roman" w:cs="Times New Roman"/>
          <w:sz w:val="24"/>
          <w:szCs w:val="24"/>
        </w:rPr>
      </w:pPr>
      <w:r w:rsidRPr="00B53DFD">
        <w:rPr>
          <w:rFonts w:ascii="Times New Roman" w:hAnsi="Times New Roman" w:cs="Times New Roman"/>
          <w:sz w:val="24"/>
          <w:szCs w:val="24"/>
        </w:rPr>
        <w:t xml:space="preserve">Powyższe wykresy wyraźnie pokazują, że maksymalny spadek i maksymalny wzrost cen akcji funduszu AMLP i spółki CCC to wartości odstające od zazwyczaj występujących wahań </w:t>
      </w:r>
      <w:r w:rsidRPr="00B53DFD">
        <w:rPr>
          <w:rFonts w:ascii="Times New Roman" w:hAnsi="Times New Roman" w:cs="Times New Roman"/>
          <w:sz w:val="24"/>
          <w:szCs w:val="24"/>
        </w:rPr>
        <w:lastRenderedPageBreak/>
        <w:t>cen. Po pominięciu tych wartości zakres zmian cen funduszu AMLP</w:t>
      </w:r>
      <w:r w:rsidR="00936989" w:rsidRPr="00B53DFD">
        <w:rPr>
          <w:rFonts w:ascii="Times New Roman" w:hAnsi="Times New Roman" w:cs="Times New Roman"/>
          <w:sz w:val="24"/>
          <w:szCs w:val="24"/>
        </w:rPr>
        <w:t xml:space="preserve"> wyniósł 36,49 </w:t>
      </w:r>
      <w:proofErr w:type="spellStart"/>
      <w:r w:rsidR="00936989" w:rsidRPr="00B53DFD">
        <w:rPr>
          <w:rFonts w:ascii="Times New Roman" w:hAnsi="Times New Roman" w:cs="Times New Roman"/>
          <w:sz w:val="24"/>
          <w:szCs w:val="24"/>
        </w:rPr>
        <w:t>p.p</w:t>
      </w:r>
      <w:proofErr w:type="spellEnd"/>
      <w:r w:rsidR="00936989" w:rsidRPr="00B53DFD">
        <w:rPr>
          <w:rFonts w:ascii="Times New Roman" w:hAnsi="Times New Roman" w:cs="Times New Roman"/>
          <w:sz w:val="24"/>
          <w:szCs w:val="24"/>
        </w:rPr>
        <w:t xml:space="preserve">. Z kolei dla spółki CCC zakres ten zmniejszył się do poziomu 83,61 </w:t>
      </w:r>
      <w:proofErr w:type="spellStart"/>
      <w:r w:rsidR="00936989" w:rsidRPr="00B53DFD">
        <w:rPr>
          <w:rFonts w:ascii="Times New Roman" w:hAnsi="Times New Roman" w:cs="Times New Roman"/>
          <w:sz w:val="24"/>
          <w:szCs w:val="24"/>
        </w:rPr>
        <w:t>p.p</w:t>
      </w:r>
      <w:proofErr w:type="spellEnd"/>
      <w:r w:rsidR="00936989" w:rsidRPr="00B53DFD">
        <w:rPr>
          <w:rFonts w:ascii="Times New Roman" w:hAnsi="Times New Roman" w:cs="Times New Roman"/>
          <w:sz w:val="24"/>
          <w:szCs w:val="24"/>
        </w:rPr>
        <w:t xml:space="preserve">. </w:t>
      </w:r>
      <w:r w:rsidR="00D87735">
        <w:rPr>
          <w:rFonts w:ascii="Times New Roman" w:hAnsi="Times New Roman" w:cs="Times New Roman"/>
          <w:sz w:val="24"/>
          <w:szCs w:val="24"/>
        </w:rPr>
        <w:t xml:space="preserve">Te wartości ekstremalne </w:t>
      </w:r>
      <w:r w:rsidR="007E4579">
        <w:rPr>
          <w:rFonts w:ascii="Times New Roman" w:hAnsi="Times New Roman" w:cs="Times New Roman"/>
          <w:sz w:val="24"/>
          <w:szCs w:val="24"/>
        </w:rPr>
        <w:t xml:space="preserve">związane są z rozprzestrzenianiem się pandemii COVID-19. </w:t>
      </w:r>
      <w:r w:rsidR="00F1292F">
        <w:rPr>
          <w:rFonts w:ascii="Times New Roman" w:hAnsi="Times New Roman" w:cs="Times New Roman"/>
          <w:sz w:val="24"/>
          <w:szCs w:val="24"/>
        </w:rPr>
        <w:t xml:space="preserve">Zaobserwowane w tym czasie ekstrema pokazują podatność danej inwestycji na niepewność rynkową oraz zdarzenia </w:t>
      </w:r>
      <w:r w:rsidR="00DA35EF">
        <w:rPr>
          <w:rFonts w:ascii="Times New Roman" w:hAnsi="Times New Roman" w:cs="Times New Roman"/>
          <w:sz w:val="24"/>
          <w:szCs w:val="24"/>
        </w:rPr>
        <w:t xml:space="preserve">nieprzewidywalne. </w:t>
      </w:r>
    </w:p>
    <w:p w14:paraId="4AE0A2DD" w14:textId="12B34B18" w:rsidR="003238AD" w:rsidRDefault="003238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8AD">
        <w:rPr>
          <w:rFonts w:ascii="Times New Roman" w:hAnsi="Times New Roman" w:cs="Times New Roman"/>
          <w:b/>
          <w:bCs/>
          <w:sz w:val="24"/>
          <w:szCs w:val="24"/>
        </w:rPr>
        <w:t>Statystyki opisowe</w:t>
      </w:r>
    </w:p>
    <w:p w14:paraId="5292085B" w14:textId="444F3FD6" w:rsidR="00DE769D" w:rsidRDefault="00C93B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50CAD6" wp14:editId="2B4E45F5">
            <wp:extent cx="5760720" cy="1719580"/>
            <wp:effectExtent l="0" t="0" r="0" b="0"/>
            <wp:docPr id="1407721382" name="Obraz 5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21382" name="Obraz 5" descr="Obraz zawierający tekst, zrzut ekranu, numer, Czcionka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BCC6" w14:textId="16BEE330" w:rsidR="00BB1F07" w:rsidRDefault="00366492" w:rsidP="00F91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Niektóre z przedstawionych powyżej </w:t>
      </w:r>
      <w:r w:rsidR="00E25321">
        <w:rPr>
          <w:rFonts w:ascii="Times New Roman" w:hAnsi="Times New Roman" w:cs="Times New Roman"/>
          <w:sz w:val="24"/>
          <w:szCs w:val="24"/>
        </w:rPr>
        <w:t>mierników zostały wcześniej omówione. Przechodząc do analizy kolejnych</w:t>
      </w:r>
      <w:r w:rsidR="000C3C4F">
        <w:rPr>
          <w:rFonts w:ascii="Times New Roman" w:hAnsi="Times New Roman" w:cs="Times New Roman"/>
          <w:sz w:val="24"/>
          <w:szCs w:val="24"/>
        </w:rPr>
        <w:t xml:space="preserve">, można stwierdzić, że najwyższą średnią charakteryzuje się </w:t>
      </w:r>
      <w:r w:rsidR="004175BA">
        <w:rPr>
          <w:rFonts w:ascii="Times New Roman" w:hAnsi="Times New Roman" w:cs="Times New Roman"/>
          <w:sz w:val="24"/>
          <w:szCs w:val="24"/>
        </w:rPr>
        <w:t xml:space="preserve">inwestycja w złoto. </w:t>
      </w:r>
      <w:r w:rsidR="0084739D">
        <w:rPr>
          <w:rFonts w:ascii="Times New Roman" w:hAnsi="Times New Roman" w:cs="Times New Roman"/>
          <w:sz w:val="24"/>
          <w:szCs w:val="24"/>
        </w:rPr>
        <w:t xml:space="preserve">Oznacza to, że </w:t>
      </w:r>
      <w:r w:rsidR="00C94313">
        <w:rPr>
          <w:rFonts w:ascii="Times New Roman" w:hAnsi="Times New Roman" w:cs="Times New Roman"/>
          <w:sz w:val="24"/>
          <w:szCs w:val="24"/>
        </w:rPr>
        <w:t>w</w:t>
      </w:r>
      <w:r w:rsidR="00723CE6">
        <w:rPr>
          <w:rFonts w:ascii="Times New Roman" w:hAnsi="Times New Roman" w:cs="Times New Roman"/>
          <w:sz w:val="24"/>
          <w:szCs w:val="24"/>
        </w:rPr>
        <w:t xml:space="preserve"> długim okresie może </w:t>
      </w:r>
      <w:r w:rsidR="00D614AF">
        <w:rPr>
          <w:rFonts w:ascii="Times New Roman" w:hAnsi="Times New Roman" w:cs="Times New Roman"/>
          <w:sz w:val="24"/>
          <w:szCs w:val="24"/>
        </w:rPr>
        <w:t>okazać się bardziej zyskowna niż pozostałe inwestycje w portfelu.</w:t>
      </w:r>
    </w:p>
    <w:p w14:paraId="047CD1BD" w14:textId="09FC42FB" w:rsidR="00D614AF" w:rsidRDefault="00D614AF" w:rsidP="00F91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kolei </w:t>
      </w:r>
      <w:r w:rsidR="00C43378">
        <w:rPr>
          <w:rFonts w:ascii="Times New Roman" w:hAnsi="Times New Roman" w:cs="Times New Roman"/>
          <w:sz w:val="24"/>
          <w:szCs w:val="24"/>
        </w:rPr>
        <w:t xml:space="preserve">odchylenie standardowe </w:t>
      </w:r>
      <w:r w:rsidR="000669BF">
        <w:rPr>
          <w:rFonts w:ascii="Times New Roman" w:hAnsi="Times New Roman" w:cs="Times New Roman"/>
          <w:sz w:val="24"/>
          <w:szCs w:val="24"/>
        </w:rPr>
        <w:t xml:space="preserve">to </w:t>
      </w:r>
      <w:r w:rsidR="004B257C">
        <w:rPr>
          <w:rFonts w:ascii="Times New Roman" w:hAnsi="Times New Roman" w:cs="Times New Roman"/>
          <w:sz w:val="24"/>
          <w:szCs w:val="24"/>
        </w:rPr>
        <w:t xml:space="preserve">jeden ze sposobów na pomiar ryzyka inwestycyjnego. </w:t>
      </w:r>
      <w:r w:rsidR="00C3627D">
        <w:rPr>
          <w:rFonts w:ascii="Times New Roman" w:hAnsi="Times New Roman" w:cs="Times New Roman"/>
          <w:sz w:val="24"/>
          <w:szCs w:val="24"/>
        </w:rPr>
        <w:t xml:space="preserve">Im niższy jest ten współczynnik, tym bezpieczniejsza inwestycja. W badanym portfelu </w:t>
      </w:r>
      <w:r w:rsidR="00317715">
        <w:rPr>
          <w:rFonts w:ascii="Times New Roman" w:hAnsi="Times New Roman" w:cs="Times New Roman"/>
          <w:sz w:val="24"/>
          <w:szCs w:val="24"/>
        </w:rPr>
        <w:t>najmniejsz</w:t>
      </w:r>
      <w:r w:rsidR="00AA70E1">
        <w:rPr>
          <w:rFonts w:ascii="Times New Roman" w:hAnsi="Times New Roman" w:cs="Times New Roman"/>
          <w:sz w:val="24"/>
          <w:szCs w:val="24"/>
        </w:rPr>
        <w:t>ą</w:t>
      </w:r>
      <w:r w:rsidR="00317715">
        <w:rPr>
          <w:rFonts w:ascii="Times New Roman" w:hAnsi="Times New Roman" w:cs="Times New Roman"/>
          <w:sz w:val="24"/>
          <w:szCs w:val="24"/>
        </w:rPr>
        <w:t xml:space="preserve"> wartość odchylenia standardowego </w:t>
      </w:r>
      <w:r w:rsidR="00AA70E1">
        <w:rPr>
          <w:rFonts w:ascii="Times New Roman" w:hAnsi="Times New Roman" w:cs="Times New Roman"/>
          <w:sz w:val="24"/>
          <w:szCs w:val="24"/>
        </w:rPr>
        <w:t>posiada waluta euro</w:t>
      </w:r>
      <w:r w:rsidR="00D45295">
        <w:rPr>
          <w:rFonts w:ascii="Times New Roman" w:hAnsi="Times New Roman" w:cs="Times New Roman"/>
          <w:sz w:val="24"/>
          <w:szCs w:val="24"/>
        </w:rPr>
        <w:t xml:space="preserve">. Z kolei wartość ta jest największa dla spółki CCC. </w:t>
      </w:r>
    </w:p>
    <w:p w14:paraId="51152EBE" w14:textId="2FA26F44" w:rsidR="007624A5" w:rsidRDefault="002E6874" w:rsidP="00F91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Kolejnym analizowanym współczynnikiem </w:t>
      </w:r>
      <w:r w:rsidR="007D52D5">
        <w:rPr>
          <w:rFonts w:ascii="Times New Roman" w:hAnsi="Times New Roman" w:cs="Times New Roman"/>
          <w:sz w:val="24"/>
          <w:szCs w:val="24"/>
        </w:rPr>
        <w:t xml:space="preserve">jest </w:t>
      </w:r>
      <w:proofErr w:type="spellStart"/>
      <w:r w:rsidR="007D52D5">
        <w:rPr>
          <w:rFonts w:ascii="Times New Roman" w:hAnsi="Times New Roman" w:cs="Times New Roman"/>
          <w:sz w:val="24"/>
          <w:szCs w:val="24"/>
        </w:rPr>
        <w:t>kurtoza</w:t>
      </w:r>
      <w:proofErr w:type="spellEnd"/>
      <w:r w:rsidR="004E6E49">
        <w:rPr>
          <w:rFonts w:ascii="Times New Roman" w:hAnsi="Times New Roman" w:cs="Times New Roman"/>
          <w:sz w:val="24"/>
          <w:szCs w:val="24"/>
        </w:rPr>
        <w:t xml:space="preserve">, która określa </w:t>
      </w:r>
      <w:r w:rsidR="004E6E49" w:rsidRPr="004E6E49">
        <w:rPr>
          <w:rFonts w:ascii="Times New Roman" w:hAnsi="Times New Roman" w:cs="Times New Roman"/>
          <w:sz w:val="24"/>
          <w:szCs w:val="24"/>
        </w:rPr>
        <w:t xml:space="preserve">tendencję </w:t>
      </w:r>
      <w:r w:rsidR="00947165">
        <w:rPr>
          <w:rFonts w:ascii="Times New Roman" w:hAnsi="Times New Roman" w:cs="Times New Roman"/>
          <w:sz w:val="24"/>
          <w:szCs w:val="24"/>
        </w:rPr>
        <w:t xml:space="preserve">wartości zmiennej </w:t>
      </w:r>
      <w:r w:rsidR="004E6E49" w:rsidRPr="004E6E49">
        <w:rPr>
          <w:rFonts w:ascii="Times New Roman" w:hAnsi="Times New Roman" w:cs="Times New Roman"/>
          <w:sz w:val="24"/>
          <w:szCs w:val="24"/>
        </w:rPr>
        <w:t>do skupiania się wokół</w:t>
      </w:r>
      <w:r w:rsidR="007D52D5">
        <w:rPr>
          <w:rFonts w:ascii="Times New Roman" w:hAnsi="Times New Roman" w:cs="Times New Roman"/>
          <w:sz w:val="24"/>
          <w:szCs w:val="24"/>
        </w:rPr>
        <w:t xml:space="preserve"> </w:t>
      </w:r>
      <w:r w:rsidR="00947165">
        <w:rPr>
          <w:rFonts w:ascii="Times New Roman" w:hAnsi="Times New Roman" w:cs="Times New Roman"/>
          <w:sz w:val="24"/>
          <w:szCs w:val="24"/>
        </w:rPr>
        <w:t xml:space="preserve">średniej. </w:t>
      </w:r>
      <w:r w:rsidR="007D52D5">
        <w:rPr>
          <w:rFonts w:ascii="Times New Roman" w:hAnsi="Times New Roman" w:cs="Times New Roman"/>
          <w:sz w:val="24"/>
          <w:szCs w:val="24"/>
        </w:rPr>
        <w:t xml:space="preserve">Im wyższy jej wskaźnik, </w:t>
      </w:r>
      <w:r w:rsidR="00B6067D">
        <w:rPr>
          <w:rFonts w:ascii="Times New Roman" w:hAnsi="Times New Roman" w:cs="Times New Roman"/>
          <w:sz w:val="24"/>
          <w:szCs w:val="24"/>
        </w:rPr>
        <w:t xml:space="preserve">tym wyższa częstotliwość ekstremalnych stóp zwrotu- </w:t>
      </w:r>
      <w:r w:rsidR="00E93E64" w:rsidRPr="00E93E64">
        <w:rPr>
          <w:rFonts w:ascii="Times New Roman" w:hAnsi="Times New Roman" w:cs="Times New Roman"/>
          <w:sz w:val="24"/>
          <w:szCs w:val="24"/>
        </w:rPr>
        <w:t>bardzo wysokich zysków lub dużych strat</w:t>
      </w:r>
      <w:r w:rsidR="00E93E64">
        <w:rPr>
          <w:rFonts w:ascii="Times New Roman" w:hAnsi="Times New Roman" w:cs="Times New Roman"/>
          <w:sz w:val="24"/>
          <w:szCs w:val="24"/>
        </w:rPr>
        <w:t>. W przeprowadzanej analizie</w:t>
      </w:r>
      <w:r w:rsidR="006A5269">
        <w:rPr>
          <w:rFonts w:ascii="Times New Roman" w:hAnsi="Times New Roman" w:cs="Times New Roman"/>
          <w:sz w:val="24"/>
          <w:szCs w:val="24"/>
        </w:rPr>
        <w:t xml:space="preserve"> najwyższą wartością </w:t>
      </w:r>
      <w:proofErr w:type="spellStart"/>
      <w:r w:rsidR="006A5269">
        <w:rPr>
          <w:rFonts w:ascii="Times New Roman" w:hAnsi="Times New Roman" w:cs="Times New Roman"/>
          <w:sz w:val="24"/>
          <w:szCs w:val="24"/>
        </w:rPr>
        <w:t>kurtozy</w:t>
      </w:r>
      <w:proofErr w:type="spellEnd"/>
      <w:r w:rsidR="006A5269">
        <w:rPr>
          <w:rFonts w:ascii="Times New Roman" w:hAnsi="Times New Roman" w:cs="Times New Roman"/>
          <w:sz w:val="24"/>
          <w:szCs w:val="24"/>
        </w:rPr>
        <w:t xml:space="preserve"> charakteryzuje się </w:t>
      </w:r>
      <w:r w:rsidR="002C2A10">
        <w:rPr>
          <w:rFonts w:ascii="Times New Roman" w:hAnsi="Times New Roman" w:cs="Times New Roman"/>
          <w:sz w:val="24"/>
          <w:szCs w:val="24"/>
        </w:rPr>
        <w:t xml:space="preserve">inwestycja w fundusz AMLP. Z kolei najniższy współczynnik </w:t>
      </w:r>
      <w:proofErr w:type="spellStart"/>
      <w:r w:rsidR="002C2A10">
        <w:rPr>
          <w:rFonts w:ascii="Times New Roman" w:hAnsi="Times New Roman" w:cs="Times New Roman"/>
          <w:sz w:val="24"/>
          <w:szCs w:val="24"/>
        </w:rPr>
        <w:t>kurtozy</w:t>
      </w:r>
      <w:proofErr w:type="spellEnd"/>
      <w:r w:rsidR="002C2A10">
        <w:rPr>
          <w:rFonts w:ascii="Times New Roman" w:hAnsi="Times New Roman" w:cs="Times New Roman"/>
          <w:sz w:val="24"/>
          <w:szCs w:val="24"/>
        </w:rPr>
        <w:t xml:space="preserve"> </w:t>
      </w:r>
      <w:r w:rsidR="00947165">
        <w:rPr>
          <w:rFonts w:ascii="Times New Roman" w:hAnsi="Times New Roman" w:cs="Times New Roman"/>
          <w:sz w:val="24"/>
          <w:szCs w:val="24"/>
        </w:rPr>
        <w:t xml:space="preserve">wykazuje inwestycja w </w:t>
      </w:r>
      <w:r w:rsidR="00D92ECF">
        <w:rPr>
          <w:rFonts w:ascii="Times New Roman" w:hAnsi="Times New Roman" w:cs="Times New Roman"/>
          <w:sz w:val="24"/>
          <w:szCs w:val="24"/>
        </w:rPr>
        <w:t>złoto</w:t>
      </w:r>
      <w:r w:rsidR="00F422AF">
        <w:rPr>
          <w:rFonts w:ascii="Times New Roman" w:hAnsi="Times New Roman" w:cs="Times New Roman"/>
          <w:sz w:val="24"/>
          <w:szCs w:val="24"/>
        </w:rPr>
        <w:t xml:space="preserve">, co oznacza, że jest bardziej stabilna </w:t>
      </w:r>
      <w:r w:rsidR="00A37642">
        <w:rPr>
          <w:rFonts w:ascii="Times New Roman" w:hAnsi="Times New Roman" w:cs="Times New Roman"/>
          <w:sz w:val="24"/>
          <w:szCs w:val="24"/>
        </w:rPr>
        <w:t xml:space="preserve">i mniej podatna na ekstremalne zdarzenia. </w:t>
      </w:r>
    </w:p>
    <w:p w14:paraId="2D1BBE5D" w14:textId="060BFE25" w:rsidR="00FF4C9D" w:rsidRDefault="00FF6D50" w:rsidP="00F91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Skośność pozwala pokazać, czy większość wartości </w:t>
      </w:r>
      <w:r w:rsidR="00EE1BC0">
        <w:rPr>
          <w:rFonts w:ascii="Times New Roman" w:hAnsi="Times New Roman" w:cs="Times New Roman"/>
          <w:sz w:val="24"/>
          <w:szCs w:val="24"/>
        </w:rPr>
        <w:t xml:space="preserve">zmiennej znajduje się poniżej czy powyżej </w:t>
      </w:r>
      <w:r w:rsidR="008D1880">
        <w:rPr>
          <w:rFonts w:ascii="Times New Roman" w:hAnsi="Times New Roman" w:cs="Times New Roman"/>
          <w:sz w:val="24"/>
          <w:szCs w:val="24"/>
        </w:rPr>
        <w:t>wartości średniej.</w:t>
      </w:r>
      <w:r w:rsidR="00C657FD">
        <w:rPr>
          <w:rFonts w:ascii="Times New Roman" w:hAnsi="Times New Roman" w:cs="Times New Roman"/>
          <w:sz w:val="24"/>
          <w:szCs w:val="24"/>
        </w:rPr>
        <w:t xml:space="preserve"> </w:t>
      </w:r>
      <w:r w:rsidR="000531B6">
        <w:rPr>
          <w:rFonts w:ascii="Times New Roman" w:hAnsi="Times New Roman" w:cs="Times New Roman"/>
          <w:sz w:val="24"/>
          <w:szCs w:val="24"/>
        </w:rPr>
        <w:t xml:space="preserve">Im wyższa wartość współczynnika, tym niższe stopy zwrotu z inwestycji. </w:t>
      </w:r>
      <w:r w:rsidR="00752486">
        <w:rPr>
          <w:rFonts w:ascii="Times New Roman" w:hAnsi="Times New Roman" w:cs="Times New Roman"/>
          <w:sz w:val="24"/>
          <w:szCs w:val="24"/>
        </w:rPr>
        <w:t>Najniższym współczynnikiem skośności charakteryzuje się fundusz AMLP</w:t>
      </w:r>
      <w:r w:rsidR="00F11E2A">
        <w:rPr>
          <w:rFonts w:ascii="Times New Roman" w:hAnsi="Times New Roman" w:cs="Times New Roman"/>
          <w:sz w:val="24"/>
          <w:szCs w:val="24"/>
        </w:rPr>
        <w:t>, co oznacza, że w większości zmiany cen akcji są powyżej średniej</w:t>
      </w:r>
      <w:r w:rsidR="009E06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251D94" w14:textId="4DD6C862" w:rsidR="003238AD" w:rsidRDefault="00784D01" w:rsidP="00F919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D01">
        <w:rPr>
          <w:rFonts w:ascii="Times New Roman" w:hAnsi="Times New Roman" w:cs="Times New Roman"/>
          <w:b/>
          <w:bCs/>
          <w:sz w:val="24"/>
          <w:szCs w:val="24"/>
        </w:rPr>
        <w:t>Współczynniki korelacji</w:t>
      </w:r>
    </w:p>
    <w:p w14:paraId="5A7A8E1F" w14:textId="49FA70A5" w:rsidR="00DB1026" w:rsidRDefault="00881879" w:rsidP="00F91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Współczynnik korelacji </w:t>
      </w:r>
      <w:r w:rsidR="009C0D38">
        <w:rPr>
          <w:rFonts w:ascii="Times New Roman" w:hAnsi="Times New Roman" w:cs="Times New Roman"/>
          <w:sz w:val="24"/>
          <w:szCs w:val="24"/>
        </w:rPr>
        <w:t xml:space="preserve">wykorzystuje się do </w:t>
      </w:r>
      <w:r w:rsidR="009C0D38" w:rsidRPr="009C0D38">
        <w:rPr>
          <w:rFonts w:ascii="Times New Roman" w:hAnsi="Times New Roman" w:cs="Times New Roman"/>
          <w:sz w:val="24"/>
          <w:szCs w:val="24"/>
        </w:rPr>
        <w:t>oceny zależności statystycznej między stopami zwrotu</w:t>
      </w:r>
      <w:r w:rsidR="009C0D38">
        <w:rPr>
          <w:rFonts w:ascii="Times New Roman" w:hAnsi="Times New Roman" w:cs="Times New Roman"/>
          <w:sz w:val="24"/>
          <w:szCs w:val="24"/>
        </w:rPr>
        <w:t xml:space="preserve"> dwóch inwestycji. </w:t>
      </w:r>
      <w:r w:rsidR="003D0292">
        <w:rPr>
          <w:rFonts w:ascii="Times New Roman" w:hAnsi="Times New Roman" w:cs="Times New Roman"/>
          <w:sz w:val="24"/>
          <w:szCs w:val="24"/>
        </w:rPr>
        <w:t xml:space="preserve">Korelacja dodatnia świadczy o tym, że wzrostowi stopy </w:t>
      </w:r>
      <w:r w:rsidR="00D6636F">
        <w:rPr>
          <w:rFonts w:ascii="Times New Roman" w:hAnsi="Times New Roman" w:cs="Times New Roman"/>
          <w:sz w:val="24"/>
          <w:szCs w:val="24"/>
        </w:rPr>
        <w:t xml:space="preserve">zwrotu </w:t>
      </w:r>
      <w:r w:rsidR="003B6A09">
        <w:rPr>
          <w:rFonts w:ascii="Times New Roman" w:hAnsi="Times New Roman" w:cs="Times New Roman"/>
          <w:sz w:val="24"/>
          <w:szCs w:val="24"/>
        </w:rPr>
        <w:t xml:space="preserve">z </w:t>
      </w:r>
      <w:r w:rsidR="00D6636F">
        <w:rPr>
          <w:rFonts w:ascii="Times New Roman" w:hAnsi="Times New Roman" w:cs="Times New Roman"/>
          <w:sz w:val="24"/>
          <w:szCs w:val="24"/>
        </w:rPr>
        <w:t xml:space="preserve">jednej </w:t>
      </w:r>
      <w:r w:rsidR="003B6A09">
        <w:rPr>
          <w:rFonts w:ascii="Times New Roman" w:hAnsi="Times New Roman" w:cs="Times New Roman"/>
          <w:sz w:val="24"/>
          <w:szCs w:val="24"/>
        </w:rPr>
        <w:t>inwestycji</w:t>
      </w:r>
      <w:r w:rsidR="00D6636F">
        <w:rPr>
          <w:rFonts w:ascii="Times New Roman" w:hAnsi="Times New Roman" w:cs="Times New Roman"/>
          <w:sz w:val="24"/>
          <w:szCs w:val="24"/>
        </w:rPr>
        <w:t xml:space="preserve"> towarzyszy wzrost stopy wzrostu </w:t>
      </w:r>
      <w:r w:rsidR="003B6A09">
        <w:rPr>
          <w:rFonts w:ascii="Times New Roman" w:hAnsi="Times New Roman" w:cs="Times New Roman"/>
          <w:sz w:val="24"/>
          <w:szCs w:val="24"/>
        </w:rPr>
        <w:t xml:space="preserve">z </w:t>
      </w:r>
      <w:r w:rsidR="00D6636F">
        <w:rPr>
          <w:rFonts w:ascii="Times New Roman" w:hAnsi="Times New Roman" w:cs="Times New Roman"/>
          <w:sz w:val="24"/>
          <w:szCs w:val="24"/>
        </w:rPr>
        <w:t xml:space="preserve">drugiej </w:t>
      </w:r>
      <w:r w:rsidR="003B6A09">
        <w:rPr>
          <w:rFonts w:ascii="Times New Roman" w:hAnsi="Times New Roman" w:cs="Times New Roman"/>
          <w:sz w:val="24"/>
          <w:szCs w:val="24"/>
        </w:rPr>
        <w:t>inwestycji</w:t>
      </w:r>
      <w:r w:rsidR="00D6636F">
        <w:rPr>
          <w:rFonts w:ascii="Times New Roman" w:hAnsi="Times New Roman" w:cs="Times New Roman"/>
          <w:sz w:val="24"/>
          <w:szCs w:val="24"/>
        </w:rPr>
        <w:t xml:space="preserve">. Z kolei ujemna korelacja wskazuje </w:t>
      </w:r>
      <w:r w:rsidR="00D7508B">
        <w:rPr>
          <w:rFonts w:ascii="Times New Roman" w:hAnsi="Times New Roman" w:cs="Times New Roman"/>
          <w:sz w:val="24"/>
          <w:szCs w:val="24"/>
        </w:rPr>
        <w:t xml:space="preserve">na sytuację odwrotną: wzrostowi </w:t>
      </w:r>
      <w:r w:rsidR="005028AA">
        <w:rPr>
          <w:rFonts w:ascii="Times New Roman" w:hAnsi="Times New Roman" w:cs="Times New Roman"/>
          <w:sz w:val="24"/>
          <w:szCs w:val="24"/>
        </w:rPr>
        <w:t xml:space="preserve">jednej </w:t>
      </w:r>
      <w:r w:rsidR="00D7508B">
        <w:rPr>
          <w:rFonts w:ascii="Times New Roman" w:hAnsi="Times New Roman" w:cs="Times New Roman"/>
          <w:sz w:val="24"/>
          <w:szCs w:val="24"/>
        </w:rPr>
        <w:t xml:space="preserve">stopy zwrotu </w:t>
      </w:r>
      <w:r w:rsidR="003B6A09">
        <w:rPr>
          <w:rFonts w:ascii="Times New Roman" w:hAnsi="Times New Roman" w:cs="Times New Roman"/>
          <w:sz w:val="24"/>
          <w:szCs w:val="24"/>
        </w:rPr>
        <w:t>odpowiada spadek drugiej</w:t>
      </w:r>
      <w:r w:rsidR="005028AA">
        <w:rPr>
          <w:rFonts w:ascii="Times New Roman" w:hAnsi="Times New Roman" w:cs="Times New Roman"/>
          <w:sz w:val="24"/>
          <w:szCs w:val="24"/>
        </w:rPr>
        <w:t xml:space="preserve">. </w:t>
      </w:r>
      <w:r w:rsidR="001B1F62">
        <w:rPr>
          <w:rFonts w:ascii="Times New Roman" w:hAnsi="Times New Roman" w:cs="Times New Roman"/>
          <w:sz w:val="24"/>
          <w:szCs w:val="24"/>
        </w:rPr>
        <w:t xml:space="preserve">Im bardziej współczynnik korelacji zbliżony jest do 1 lub -1, tym silniej </w:t>
      </w:r>
      <w:r w:rsidR="00387E9F">
        <w:rPr>
          <w:rFonts w:ascii="Times New Roman" w:hAnsi="Times New Roman" w:cs="Times New Roman"/>
          <w:sz w:val="24"/>
          <w:szCs w:val="24"/>
        </w:rPr>
        <w:t xml:space="preserve">powiązane są aktywa. </w:t>
      </w:r>
      <w:r w:rsidR="00516B49">
        <w:rPr>
          <w:rFonts w:ascii="Times New Roman" w:hAnsi="Times New Roman" w:cs="Times New Roman"/>
          <w:sz w:val="24"/>
          <w:szCs w:val="24"/>
        </w:rPr>
        <w:t xml:space="preserve">Współczynnik korelacji równy 0 </w:t>
      </w:r>
      <w:r w:rsidR="009A6DE4">
        <w:rPr>
          <w:rFonts w:ascii="Times New Roman" w:hAnsi="Times New Roman" w:cs="Times New Roman"/>
          <w:sz w:val="24"/>
          <w:szCs w:val="24"/>
        </w:rPr>
        <w:t>oznacza brak korelacji liniowej pomiędzy badanymi</w:t>
      </w:r>
      <w:r w:rsidR="002B7144">
        <w:rPr>
          <w:rFonts w:ascii="Times New Roman" w:hAnsi="Times New Roman" w:cs="Times New Roman"/>
          <w:sz w:val="24"/>
          <w:szCs w:val="24"/>
        </w:rPr>
        <w:t xml:space="preserve"> zmiennymi. </w:t>
      </w:r>
      <w:r w:rsidR="00F609A5">
        <w:rPr>
          <w:rFonts w:ascii="Times New Roman" w:hAnsi="Times New Roman" w:cs="Times New Roman"/>
          <w:sz w:val="24"/>
          <w:szCs w:val="24"/>
        </w:rPr>
        <w:t xml:space="preserve">Najczęściej </w:t>
      </w:r>
      <w:r w:rsidR="00C93B61">
        <w:rPr>
          <w:rFonts w:ascii="Times New Roman" w:hAnsi="Times New Roman" w:cs="Times New Roman"/>
          <w:sz w:val="24"/>
          <w:szCs w:val="24"/>
        </w:rPr>
        <w:t>interpretuje się p</w:t>
      </w:r>
      <w:r w:rsidR="00CD1D90">
        <w:rPr>
          <w:rFonts w:ascii="Times New Roman" w:hAnsi="Times New Roman" w:cs="Times New Roman"/>
          <w:sz w:val="24"/>
          <w:szCs w:val="24"/>
        </w:rPr>
        <w:t xml:space="preserve">rzy </w:t>
      </w:r>
      <w:r w:rsidR="00C93B61">
        <w:rPr>
          <w:rFonts w:ascii="Times New Roman" w:hAnsi="Times New Roman" w:cs="Times New Roman"/>
          <w:sz w:val="24"/>
          <w:szCs w:val="24"/>
        </w:rPr>
        <w:t xml:space="preserve">użyciu stopni korelacji. </w:t>
      </w:r>
      <w:r w:rsidR="009C0D38">
        <w:rPr>
          <w:rFonts w:ascii="Times New Roman" w:hAnsi="Times New Roman" w:cs="Times New Roman"/>
          <w:sz w:val="24"/>
          <w:szCs w:val="24"/>
        </w:rPr>
        <w:t xml:space="preserve">Poniżej zaprezentowano macierz korelacji dla inwestycji z analizowanego portfela. </w:t>
      </w:r>
    </w:p>
    <w:p w14:paraId="77EBCABA" w14:textId="39CD593B" w:rsidR="00C93B61" w:rsidRDefault="00C93B61" w:rsidP="00F91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BD7D6F3" wp14:editId="06624C62">
            <wp:simplePos x="0" y="0"/>
            <wp:positionH relativeFrom="column">
              <wp:posOffset>3748405</wp:posOffset>
            </wp:positionH>
            <wp:positionV relativeFrom="paragraph">
              <wp:posOffset>4445</wp:posOffset>
            </wp:positionV>
            <wp:extent cx="2374900" cy="1346200"/>
            <wp:effectExtent l="0" t="0" r="6350" b="6350"/>
            <wp:wrapSquare wrapText="bothSides"/>
            <wp:docPr id="1685415703" name="Obraz 6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15703" name="Obraz 6" descr="Obraz zawierający tekst, zrzut ekranu, Czcionka, numer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006D8" wp14:editId="5C84CC46">
            <wp:extent cx="3606985" cy="977950"/>
            <wp:effectExtent l="0" t="0" r="0" b="0"/>
            <wp:docPr id="2040945904" name="Obraz 7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45904" name="Obraz 7" descr="Obraz zawierający tekst, zrzut ekranu, Czcionka, numer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D862" w14:textId="3020A606" w:rsidR="00784D01" w:rsidRDefault="002B7144" w:rsidP="0003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Można zauważyć, że </w:t>
      </w:r>
      <w:r w:rsidR="00512777">
        <w:rPr>
          <w:rFonts w:ascii="Times New Roman" w:hAnsi="Times New Roman" w:cs="Times New Roman"/>
          <w:sz w:val="24"/>
          <w:szCs w:val="24"/>
        </w:rPr>
        <w:t>trzy z badanych korelac</w:t>
      </w:r>
      <w:r w:rsidR="0003459A">
        <w:rPr>
          <w:rFonts w:ascii="Times New Roman" w:hAnsi="Times New Roman" w:cs="Times New Roman"/>
          <w:sz w:val="24"/>
          <w:szCs w:val="24"/>
        </w:rPr>
        <w:t xml:space="preserve">ji przyjmują wartości dodatnie. </w:t>
      </w:r>
      <w:r w:rsidR="0042132C">
        <w:rPr>
          <w:rFonts w:ascii="Times New Roman" w:hAnsi="Times New Roman" w:cs="Times New Roman"/>
          <w:sz w:val="24"/>
          <w:szCs w:val="24"/>
        </w:rPr>
        <w:t xml:space="preserve">Współczynnik sugeruje umiarkowany stopień </w:t>
      </w:r>
      <w:r w:rsidR="00887CF3">
        <w:rPr>
          <w:rFonts w:ascii="Times New Roman" w:hAnsi="Times New Roman" w:cs="Times New Roman"/>
          <w:sz w:val="24"/>
          <w:szCs w:val="24"/>
        </w:rPr>
        <w:t xml:space="preserve">dla zależności pomiędzy </w:t>
      </w:r>
      <w:r w:rsidR="00AA1A4C">
        <w:rPr>
          <w:rFonts w:ascii="Times New Roman" w:hAnsi="Times New Roman" w:cs="Times New Roman"/>
          <w:sz w:val="24"/>
          <w:szCs w:val="24"/>
        </w:rPr>
        <w:t xml:space="preserve">stopami zwrotu funduszu i spółki. </w:t>
      </w:r>
      <w:r w:rsidR="00FC529F">
        <w:rPr>
          <w:rFonts w:ascii="Times New Roman" w:hAnsi="Times New Roman" w:cs="Times New Roman"/>
          <w:sz w:val="24"/>
          <w:szCs w:val="24"/>
        </w:rPr>
        <w:t xml:space="preserve">Pozostałe dodatnie korelacje znajdują się w przedziale korelacji słabej. </w:t>
      </w:r>
      <w:r w:rsidR="00EA30D3">
        <w:rPr>
          <w:rFonts w:ascii="Times New Roman" w:hAnsi="Times New Roman" w:cs="Times New Roman"/>
          <w:sz w:val="24"/>
          <w:szCs w:val="24"/>
        </w:rPr>
        <w:t xml:space="preserve">Umiarkowany stopień korelacji </w:t>
      </w:r>
      <w:r w:rsidR="0094097D">
        <w:rPr>
          <w:rFonts w:ascii="Times New Roman" w:hAnsi="Times New Roman" w:cs="Times New Roman"/>
          <w:sz w:val="24"/>
          <w:szCs w:val="24"/>
        </w:rPr>
        <w:t xml:space="preserve">ujemnej </w:t>
      </w:r>
      <w:r w:rsidR="00963A31">
        <w:rPr>
          <w:rFonts w:ascii="Times New Roman" w:hAnsi="Times New Roman" w:cs="Times New Roman"/>
          <w:sz w:val="24"/>
          <w:szCs w:val="24"/>
        </w:rPr>
        <w:t xml:space="preserve">wykazują stopy zwrotu </w:t>
      </w:r>
      <w:r w:rsidR="00E8082A">
        <w:rPr>
          <w:rFonts w:ascii="Times New Roman" w:hAnsi="Times New Roman" w:cs="Times New Roman"/>
          <w:sz w:val="24"/>
          <w:szCs w:val="24"/>
        </w:rPr>
        <w:t xml:space="preserve">waluty euro oraz spółki CCC. </w:t>
      </w:r>
      <w:r w:rsidR="00FF0928">
        <w:rPr>
          <w:rFonts w:ascii="Times New Roman" w:hAnsi="Times New Roman" w:cs="Times New Roman"/>
          <w:sz w:val="24"/>
          <w:szCs w:val="24"/>
        </w:rPr>
        <w:t xml:space="preserve">Reszta zależności odwrotnych wskazuje na </w:t>
      </w:r>
      <w:r w:rsidR="008B0491">
        <w:rPr>
          <w:rFonts w:ascii="Times New Roman" w:hAnsi="Times New Roman" w:cs="Times New Roman"/>
          <w:sz w:val="24"/>
          <w:szCs w:val="24"/>
        </w:rPr>
        <w:t xml:space="preserve">korelację niską. </w:t>
      </w:r>
    </w:p>
    <w:p w14:paraId="3ABFCF70" w14:textId="61090BD8" w:rsidR="002B23AE" w:rsidRDefault="002B23AE" w:rsidP="0003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Współczynnik korelacji </w:t>
      </w:r>
      <w:r w:rsidR="00692DE7">
        <w:rPr>
          <w:rFonts w:ascii="Times New Roman" w:hAnsi="Times New Roman" w:cs="Times New Roman"/>
          <w:sz w:val="24"/>
          <w:szCs w:val="24"/>
        </w:rPr>
        <w:t xml:space="preserve">jest przydatny przy dywersyfikacji </w:t>
      </w:r>
      <w:r w:rsidR="00312E9D">
        <w:rPr>
          <w:rFonts w:ascii="Times New Roman" w:hAnsi="Times New Roman" w:cs="Times New Roman"/>
          <w:sz w:val="24"/>
          <w:szCs w:val="24"/>
        </w:rPr>
        <w:t xml:space="preserve">ryzyka </w:t>
      </w:r>
      <w:r w:rsidR="00692DE7">
        <w:rPr>
          <w:rFonts w:ascii="Times New Roman" w:hAnsi="Times New Roman" w:cs="Times New Roman"/>
          <w:sz w:val="24"/>
          <w:szCs w:val="24"/>
        </w:rPr>
        <w:t>portfela.</w:t>
      </w:r>
      <w:r w:rsidR="00312E9D">
        <w:rPr>
          <w:rFonts w:ascii="Times New Roman" w:hAnsi="Times New Roman" w:cs="Times New Roman"/>
          <w:sz w:val="24"/>
          <w:szCs w:val="24"/>
        </w:rPr>
        <w:t xml:space="preserve"> </w:t>
      </w:r>
      <w:r w:rsidR="008C2369">
        <w:rPr>
          <w:rFonts w:ascii="Times New Roman" w:hAnsi="Times New Roman" w:cs="Times New Roman"/>
          <w:sz w:val="24"/>
          <w:szCs w:val="24"/>
        </w:rPr>
        <w:t>Wybór</w:t>
      </w:r>
      <w:r w:rsidR="00C0160D">
        <w:rPr>
          <w:rFonts w:ascii="Times New Roman" w:hAnsi="Times New Roman" w:cs="Times New Roman"/>
          <w:sz w:val="24"/>
          <w:szCs w:val="24"/>
        </w:rPr>
        <w:t xml:space="preserve"> inwestycji </w:t>
      </w:r>
      <w:r w:rsidR="008C2369">
        <w:rPr>
          <w:rFonts w:ascii="Times New Roman" w:hAnsi="Times New Roman" w:cs="Times New Roman"/>
          <w:sz w:val="24"/>
          <w:szCs w:val="24"/>
        </w:rPr>
        <w:t>charakteryzujących się niskimi wartościami tego współczynnika</w:t>
      </w:r>
      <w:r w:rsidR="00A920B8">
        <w:rPr>
          <w:rFonts w:ascii="Times New Roman" w:hAnsi="Times New Roman" w:cs="Times New Roman"/>
          <w:sz w:val="24"/>
          <w:szCs w:val="24"/>
        </w:rPr>
        <w:t xml:space="preserve"> oznacza, że ewentualne spadki</w:t>
      </w:r>
      <w:r w:rsidR="007712EA">
        <w:rPr>
          <w:rFonts w:ascii="Times New Roman" w:hAnsi="Times New Roman" w:cs="Times New Roman"/>
          <w:sz w:val="24"/>
          <w:szCs w:val="24"/>
        </w:rPr>
        <w:t xml:space="preserve"> jednego aktywa będą rekompensowane wzrostami drugiego. </w:t>
      </w:r>
      <w:r w:rsidR="00E07C88">
        <w:rPr>
          <w:rFonts w:ascii="Times New Roman" w:hAnsi="Times New Roman" w:cs="Times New Roman"/>
          <w:sz w:val="24"/>
          <w:szCs w:val="24"/>
        </w:rPr>
        <w:t xml:space="preserve">Zależności stopnia umiarkowanego </w:t>
      </w:r>
      <w:r w:rsidR="00585F52">
        <w:rPr>
          <w:rFonts w:ascii="Times New Roman" w:hAnsi="Times New Roman" w:cs="Times New Roman"/>
          <w:sz w:val="24"/>
          <w:szCs w:val="24"/>
        </w:rPr>
        <w:t xml:space="preserve">spółki CCC z funduszem AMLP oraz walutą euro </w:t>
      </w:r>
      <w:r w:rsidR="00295B35">
        <w:rPr>
          <w:rFonts w:ascii="Times New Roman" w:hAnsi="Times New Roman" w:cs="Times New Roman"/>
          <w:sz w:val="24"/>
          <w:szCs w:val="24"/>
        </w:rPr>
        <w:t>mogą być przesłanką do przeanalizowania struktury portfela i</w:t>
      </w:r>
      <w:r w:rsidR="00152E20">
        <w:rPr>
          <w:rFonts w:ascii="Times New Roman" w:hAnsi="Times New Roman" w:cs="Times New Roman"/>
          <w:sz w:val="24"/>
          <w:szCs w:val="24"/>
        </w:rPr>
        <w:t xml:space="preserve">nwestycyjnego. </w:t>
      </w:r>
      <w:r w:rsidR="008C2369">
        <w:rPr>
          <w:rFonts w:ascii="Times New Roman" w:hAnsi="Times New Roman" w:cs="Times New Roman"/>
          <w:sz w:val="24"/>
          <w:szCs w:val="24"/>
        </w:rPr>
        <w:t xml:space="preserve"> </w:t>
      </w:r>
      <w:r w:rsidR="00692DE7">
        <w:rPr>
          <w:rFonts w:ascii="Times New Roman" w:hAnsi="Times New Roman" w:cs="Times New Roman"/>
          <w:sz w:val="24"/>
          <w:szCs w:val="24"/>
        </w:rPr>
        <w:t xml:space="preserve"> </w:t>
      </w:r>
      <w:r w:rsidR="00EE49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0A9AED" w14:textId="7521863C" w:rsidR="00C62A7D" w:rsidRDefault="00304658" w:rsidP="000345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4658">
        <w:rPr>
          <w:rFonts w:ascii="Times New Roman" w:hAnsi="Times New Roman" w:cs="Times New Roman"/>
          <w:b/>
          <w:bCs/>
          <w:sz w:val="24"/>
          <w:szCs w:val="24"/>
        </w:rPr>
        <w:t>Współczynniki efektywności</w:t>
      </w:r>
    </w:p>
    <w:p w14:paraId="67154CB6" w14:textId="1CF8D7FF" w:rsidR="00304658" w:rsidRDefault="00383A7E" w:rsidP="0003459A">
      <w:pPr>
        <w:rPr>
          <w:rFonts w:ascii="Times New Roman" w:hAnsi="Times New Roman" w:cs="Times New Roman"/>
          <w:sz w:val="24"/>
          <w:szCs w:val="24"/>
        </w:rPr>
      </w:pPr>
      <w:r w:rsidRPr="00383A7E">
        <w:rPr>
          <w:rFonts w:ascii="Times New Roman" w:hAnsi="Times New Roman" w:cs="Times New Roman"/>
          <w:sz w:val="24"/>
          <w:szCs w:val="24"/>
        </w:rPr>
        <w:t xml:space="preserve">Kolejnym krokiem w </w:t>
      </w:r>
      <w:r>
        <w:rPr>
          <w:rFonts w:ascii="Times New Roman" w:hAnsi="Times New Roman" w:cs="Times New Roman"/>
          <w:sz w:val="24"/>
          <w:szCs w:val="24"/>
        </w:rPr>
        <w:t xml:space="preserve">przeprowadzonej analizie jest zbadanie współczynników efektywności dla poszczególnych </w:t>
      </w:r>
      <w:r w:rsidR="00385041">
        <w:rPr>
          <w:rFonts w:ascii="Times New Roman" w:hAnsi="Times New Roman" w:cs="Times New Roman"/>
          <w:sz w:val="24"/>
          <w:szCs w:val="24"/>
        </w:rPr>
        <w:t>inwestycji w portfelu. Poniżej zaprezentowano wyniki</w:t>
      </w:r>
      <w:r w:rsidR="00F110A7">
        <w:rPr>
          <w:rFonts w:ascii="Times New Roman" w:hAnsi="Times New Roman" w:cs="Times New Roman"/>
          <w:sz w:val="24"/>
          <w:szCs w:val="24"/>
        </w:rPr>
        <w:t>.</w:t>
      </w:r>
    </w:p>
    <w:p w14:paraId="179BAE52" w14:textId="748CDC4F" w:rsidR="00C93B61" w:rsidRDefault="00C93B61" w:rsidP="0003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ECC838" wp14:editId="739EB9E4">
            <wp:extent cx="3899100" cy="793791"/>
            <wp:effectExtent l="0" t="0" r="6350" b="6350"/>
            <wp:docPr id="454558548" name="Obraz 8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58548" name="Obraz 8" descr="Obraz zawierający tekst, zrzut ekranu, Czcionka, numer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28D7" w14:textId="105CF344" w:rsidR="00F110A7" w:rsidRDefault="00F110A7" w:rsidP="0003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Współczynnik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Sharpe’a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pokazuje </w:t>
      </w:r>
      <w:r w:rsidR="00AC3C89">
        <w:rPr>
          <w:rFonts w:ascii="Times New Roman" w:hAnsi="Times New Roman" w:cs="Times New Roman"/>
          <w:sz w:val="24"/>
          <w:szCs w:val="24"/>
        </w:rPr>
        <w:t>wysokość premii za ryzyko w stosunku do podejmowanego przy inwestowaniu ryzyka</w:t>
      </w:r>
      <w:r w:rsidR="001F69A4">
        <w:rPr>
          <w:rFonts w:ascii="Times New Roman" w:hAnsi="Times New Roman" w:cs="Times New Roman"/>
          <w:sz w:val="24"/>
          <w:szCs w:val="24"/>
        </w:rPr>
        <w:t xml:space="preserve">. </w:t>
      </w:r>
      <w:r w:rsidR="00995B43">
        <w:rPr>
          <w:rFonts w:ascii="Times New Roman" w:hAnsi="Times New Roman" w:cs="Times New Roman"/>
          <w:sz w:val="24"/>
          <w:szCs w:val="24"/>
        </w:rPr>
        <w:t xml:space="preserve">Z kolei wskaźniki </w:t>
      </w:r>
      <w:proofErr w:type="spellStart"/>
      <w:r w:rsidR="00792362">
        <w:rPr>
          <w:rFonts w:ascii="Times New Roman" w:hAnsi="Times New Roman" w:cs="Times New Roman"/>
          <w:sz w:val="24"/>
          <w:szCs w:val="24"/>
        </w:rPr>
        <w:t>Calmara</w:t>
      </w:r>
      <w:proofErr w:type="spellEnd"/>
      <w:r w:rsidR="00792362">
        <w:rPr>
          <w:rFonts w:ascii="Times New Roman" w:hAnsi="Times New Roman" w:cs="Times New Roman"/>
          <w:sz w:val="24"/>
          <w:szCs w:val="24"/>
        </w:rPr>
        <w:t xml:space="preserve"> i Sterlinga oparte są na maksymalnym spadku stopy zwrotu. Im wyższy współczynnik efektywności, tym lepszy stosunek możliwego osiągalnego zysku do podejmowanego ryzyka. Najwyższe wartości w wybranych współczynnikach osiągnęła inwestycja w złoto, a następnie kolejno: </w:t>
      </w:r>
      <w:r w:rsidR="00A66A81">
        <w:rPr>
          <w:rFonts w:ascii="Times New Roman" w:hAnsi="Times New Roman" w:cs="Times New Roman"/>
          <w:sz w:val="24"/>
          <w:szCs w:val="24"/>
        </w:rPr>
        <w:t xml:space="preserve">spółka CCC, euro oraz fundusz AMLP. </w:t>
      </w:r>
    </w:p>
    <w:p w14:paraId="0BF15073" w14:textId="0E317D2A" w:rsidR="00F162E0" w:rsidRDefault="00F162E0" w:rsidP="0003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Wartości współczynników nie są bardzo wysokie, a w niektórych przypadkach przyjmują nawet wartości ujemne. Należy </w:t>
      </w:r>
      <w:r w:rsidR="0027179F">
        <w:rPr>
          <w:rFonts w:ascii="Times New Roman" w:hAnsi="Times New Roman" w:cs="Times New Roman"/>
          <w:sz w:val="24"/>
          <w:szCs w:val="24"/>
        </w:rPr>
        <w:t xml:space="preserve">jednak uwzględnić, że </w:t>
      </w:r>
      <w:r w:rsidR="00A404DF">
        <w:rPr>
          <w:rFonts w:ascii="Times New Roman" w:hAnsi="Times New Roman" w:cs="Times New Roman"/>
          <w:sz w:val="24"/>
          <w:szCs w:val="24"/>
        </w:rPr>
        <w:t>w badanym okre</w:t>
      </w:r>
      <w:r w:rsidR="008E1043">
        <w:rPr>
          <w:rFonts w:ascii="Times New Roman" w:hAnsi="Times New Roman" w:cs="Times New Roman"/>
          <w:sz w:val="24"/>
          <w:szCs w:val="24"/>
        </w:rPr>
        <w:t xml:space="preserve">sie miały miejsce znaczące zdarzenia wpływające na funkcjonowanie rynku, m.in. pandemia Covid-19. </w:t>
      </w:r>
      <w:r w:rsidR="00686979">
        <w:rPr>
          <w:rFonts w:ascii="Times New Roman" w:hAnsi="Times New Roman" w:cs="Times New Roman"/>
          <w:sz w:val="24"/>
          <w:szCs w:val="24"/>
        </w:rPr>
        <w:t xml:space="preserve">Warto zauważyć, że najwyższym współczynnikiem efektywności </w:t>
      </w:r>
      <w:r w:rsidR="005C2549">
        <w:rPr>
          <w:rFonts w:ascii="Times New Roman" w:hAnsi="Times New Roman" w:cs="Times New Roman"/>
          <w:sz w:val="24"/>
          <w:szCs w:val="24"/>
        </w:rPr>
        <w:t xml:space="preserve">charakteryzuje się złoto, które uważane jest za </w:t>
      </w:r>
      <w:r w:rsidR="003603FB">
        <w:rPr>
          <w:rFonts w:ascii="Times New Roman" w:hAnsi="Times New Roman" w:cs="Times New Roman"/>
          <w:sz w:val="24"/>
          <w:szCs w:val="24"/>
        </w:rPr>
        <w:t xml:space="preserve">bezpieczną inwestycję również w czasach niepewności rynkowej. </w:t>
      </w:r>
    </w:p>
    <w:p w14:paraId="565B0051" w14:textId="3C3C8A3D" w:rsidR="00407F1C" w:rsidRDefault="00407F1C" w:rsidP="000345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Dywersyfikacja prosta</w:t>
      </w:r>
    </w:p>
    <w:p w14:paraId="29481040" w14:textId="791604B5" w:rsidR="00407F1C" w:rsidRDefault="00407F1C" w:rsidP="00407F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Portfel inwestycyjny można także stworzyć zakładając prostą dywersyfikację kapitału. Charakteryzuje się to równym udziałem każdej inwestycji w portfelu.</w:t>
      </w:r>
    </w:p>
    <w:p w14:paraId="3B4FE3BB" w14:textId="1C9BA2EF" w:rsidR="00407F1C" w:rsidRDefault="00407F1C" w:rsidP="00407F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analizowanym przypadku stopa zwrotu takiego portfela wynosi </w:t>
      </w:r>
      <w:r w:rsidR="00C17FCB">
        <w:rPr>
          <w:rFonts w:ascii="Times New Roman" w:hAnsi="Times New Roman" w:cs="Times New Roman"/>
          <w:sz w:val="24"/>
          <w:szCs w:val="24"/>
        </w:rPr>
        <w:t>-0,05%</w:t>
      </w:r>
      <w:r w:rsidR="00384768">
        <w:rPr>
          <w:rFonts w:ascii="Times New Roman" w:hAnsi="Times New Roman" w:cs="Times New Roman"/>
          <w:sz w:val="24"/>
          <w:szCs w:val="24"/>
        </w:rPr>
        <w:t xml:space="preserve">, a jego ryzyko </w:t>
      </w:r>
      <w:r w:rsidR="00E32DFC">
        <w:rPr>
          <w:rFonts w:ascii="Times New Roman" w:hAnsi="Times New Roman" w:cs="Times New Roman"/>
          <w:sz w:val="24"/>
          <w:szCs w:val="24"/>
        </w:rPr>
        <w:t xml:space="preserve">jest równe 6,11%. </w:t>
      </w:r>
      <w:r w:rsidR="0042078E">
        <w:rPr>
          <w:rFonts w:ascii="Times New Roman" w:hAnsi="Times New Roman" w:cs="Times New Roman"/>
          <w:sz w:val="24"/>
          <w:szCs w:val="24"/>
        </w:rPr>
        <w:t xml:space="preserve">Z kolei efektywność portfela liczona współczynnikiem </w:t>
      </w:r>
      <w:proofErr w:type="spellStart"/>
      <w:r w:rsidR="0042078E">
        <w:rPr>
          <w:rFonts w:ascii="Times New Roman" w:hAnsi="Times New Roman" w:cs="Times New Roman"/>
          <w:sz w:val="24"/>
          <w:szCs w:val="24"/>
        </w:rPr>
        <w:t>Sharpe’a</w:t>
      </w:r>
      <w:proofErr w:type="spellEnd"/>
      <w:r w:rsidR="0042078E">
        <w:rPr>
          <w:rFonts w:ascii="Times New Roman" w:hAnsi="Times New Roman" w:cs="Times New Roman"/>
          <w:sz w:val="24"/>
          <w:szCs w:val="24"/>
        </w:rPr>
        <w:t xml:space="preserve"> wynosi </w:t>
      </w:r>
      <w:r w:rsidR="005455A2">
        <w:rPr>
          <w:rFonts w:ascii="Times New Roman" w:hAnsi="Times New Roman" w:cs="Times New Roman"/>
          <w:sz w:val="24"/>
          <w:szCs w:val="24"/>
        </w:rPr>
        <w:t xml:space="preserve">-0,81%. </w:t>
      </w:r>
      <w:r w:rsidR="007C4BBC">
        <w:rPr>
          <w:rFonts w:ascii="Times New Roman" w:hAnsi="Times New Roman" w:cs="Times New Roman"/>
          <w:sz w:val="24"/>
          <w:szCs w:val="24"/>
        </w:rPr>
        <w:t xml:space="preserve">Powyższe wyniki sugerują, że </w:t>
      </w:r>
      <w:r w:rsidR="001C2898">
        <w:rPr>
          <w:rFonts w:ascii="Times New Roman" w:hAnsi="Times New Roman" w:cs="Times New Roman"/>
          <w:sz w:val="24"/>
          <w:szCs w:val="24"/>
        </w:rPr>
        <w:t>nie jest to optymalna strategia inwestycyjna</w:t>
      </w:r>
      <w:r w:rsidR="00BE41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8A49CB" w14:textId="32A09AAF" w:rsidR="00813A41" w:rsidRDefault="00813A41" w:rsidP="000345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A41">
        <w:rPr>
          <w:rFonts w:ascii="Times New Roman" w:hAnsi="Times New Roman" w:cs="Times New Roman"/>
          <w:b/>
          <w:bCs/>
          <w:sz w:val="24"/>
          <w:szCs w:val="24"/>
        </w:rPr>
        <w:lastRenderedPageBreak/>
        <w:t>Portfele optymalne</w:t>
      </w:r>
    </w:p>
    <w:p w14:paraId="013C6076" w14:textId="78011D93" w:rsidR="00006099" w:rsidRDefault="007212BC" w:rsidP="00BF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Portfele zmieniające się w czasie zakładają dynamiczne podejście do inwestowania</w:t>
      </w:r>
      <w:r w:rsidR="000A20EA">
        <w:rPr>
          <w:rFonts w:ascii="Times New Roman" w:hAnsi="Times New Roman" w:cs="Times New Roman"/>
          <w:sz w:val="24"/>
          <w:szCs w:val="24"/>
        </w:rPr>
        <w:t xml:space="preserve">. </w:t>
      </w:r>
      <w:r w:rsidR="00054631">
        <w:rPr>
          <w:rFonts w:ascii="Times New Roman" w:hAnsi="Times New Roman" w:cs="Times New Roman"/>
          <w:sz w:val="24"/>
          <w:szCs w:val="24"/>
        </w:rPr>
        <w:t>Takie portfele są okresowo dostosowywane, aby lepiej odpowiada</w:t>
      </w:r>
      <w:r w:rsidR="00B634CA">
        <w:rPr>
          <w:rFonts w:ascii="Times New Roman" w:hAnsi="Times New Roman" w:cs="Times New Roman"/>
          <w:sz w:val="24"/>
          <w:szCs w:val="24"/>
        </w:rPr>
        <w:t>ć bieżącym warunkom</w:t>
      </w:r>
      <w:r w:rsidR="000A20EA">
        <w:rPr>
          <w:rFonts w:ascii="Times New Roman" w:hAnsi="Times New Roman" w:cs="Times New Roman"/>
          <w:sz w:val="24"/>
          <w:szCs w:val="24"/>
        </w:rPr>
        <w:t xml:space="preserve"> rynkowym</w:t>
      </w:r>
      <w:r w:rsidR="00B634CA">
        <w:rPr>
          <w:rFonts w:ascii="Times New Roman" w:hAnsi="Times New Roman" w:cs="Times New Roman"/>
          <w:sz w:val="24"/>
          <w:szCs w:val="24"/>
        </w:rPr>
        <w:t xml:space="preserve">. </w:t>
      </w:r>
      <w:r w:rsidR="003E045C">
        <w:rPr>
          <w:rFonts w:ascii="Times New Roman" w:hAnsi="Times New Roman" w:cs="Times New Roman"/>
          <w:sz w:val="24"/>
          <w:szCs w:val="24"/>
        </w:rPr>
        <w:t xml:space="preserve">Ich analiza pozwala sprawdzić, czy należy </w:t>
      </w:r>
      <w:r w:rsidR="001A0648">
        <w:rPr>
          <w:rFonts w:ascii="Times New Roman" w:hAnsi="Times New Roman" w:cs="Times New Roman"/>
          <w:sz w:val="24"/>
          <w:szCs w:val="24"/>
        </w:rPr>
        <w:t xml:space="preserve">regularnie zmieniać dywersyfikację swojego kapitału w celu osiągnięcia </w:t>
      </w:r>
      <w:r w:rsidR="000A20EA">
        <w:rPr>
          <w:rFonts w:ascii="Times New Roman" w:hAnsi="Times New Roman" w:cs="Times New Roman"/>
          <w:sz w:val="24"/>
          <w:szCs w:val="24"/>
        </w:rPr>
        <w:t xml:space="preserve">najwyższej efektywności. </w:t>
      </w:r>
      <w:r w:rsidR="00210AC5">
        <w:rPr>
          <w:rFonts w:ascii="Times New Roman" w:hAnsi="Times New Roman" w:cs="Times New Roman"/>
          <w:sz w:val="24"/>
          <w:szCs w:val="24"/>
        </w:rPr>
        <w:t xml:space="preserve">Poniżej przedstawiono wykresy </w:t>
      </w:r>
      <w:r w:rsidR="003864A3">
        <w:rPr>
          <w:rFonts w:ascii="Times New Roman" w:hAnsi="Times New Roman" w:cs="Times New Roman"/>
          <w:sz w:val="24"/>
          <w:szCs w:val="24"/>
        </w:rPr>
        <w:t xml:space="preserve">pokazujące </w:t>
      </w:r>
      <w:r w:rsidR="00A055AF">
        <w:rPr>
          <w:rFonts w:ascii="Times New Roman" w:hAnsi="Times New Roman" w:cs="Times New Roman"/>
          <w:sz w:val="24"/>
          <w:szCs w:val="24"/>
        </w:rPr>
        <w:t xml:space="preserve">analizę w </w:t>
      </w:r>
      <w:r w:rsidR="00D74D56">
        <w:rPr>
          <w:rFonts w:ascii="Times New Roman" w:hAnsi="Times New Roman" w:cs="Times New Roman"/>
          <w:sz w:val="24"/>
          <w:szCs w:val="24"/>
        </w:rPr>
        <w:t xml:space="preserve">czasie </w:t>
      </w:r>
      <w:r w:rsidR="003864A3">
        <w:rPr>
          <w:rFonts w:ascii="Times New Roman" w:hAnsi="Times New Roman" w:cs="Times New Roman"/>
          <w:sz w:val="24"/>
          <w:szCs w:val="24"/>
        </w:rPr>
        <w:t>skład</w:t>
      </w:r>
      <w:r w:rsidR="00A055AF">
        <w:rPr>
          <w:rFonts w:ascii="Times New Roman" w:hAnsi="Times New Roman" w:cs="Times New Roman"/>
          <w:sz w:val="24"/>
          <w:szCs w:val="24"/>
        </w:rPr>
        <w:t>u</w:t>
      </w:r>
      <w:r w:rsidR="003864A3">
        <w:rPr>
          <w:rFonts w:ascii="Times New Roman" w:hAnsi="Times New Roman" w:cs="Times New Roman"/>
          <w:sz w:val="24"/>
          <w:szCs w:val="24"/>
        </w:rPr>
        <w:t xml:space="preserve"> </w:t>
      </w:r>
      <w:r w:rsidR="00D74D56">
        <w:rPr>
          <w:rFonts w:ascii="Times New Roman" w:hAnsi="Times New Roman" w:cs="Times New Roman"/>
          <w:sz w:val="24"/>
          <w:szCs w:val="24"/>
        </w:rPr>
        <w:t xml:space="preserve">badanego </w:t>
      </w:r>
      <w:r w:rsidR="003864A3">
        <w:rPr>
          <w:rFonts w:ascii="Times New Roman" w:hAnsi="Times New Roman" w:cs="Times New Roman"/>
          <w:sz w:val="24"/>
          <w:szCs w:val="24"/>
        </w:rPr>
        <w:t xml:space="preserve">portfela </w:t>
      </w:r>
      <w:r w:rsidR="008576AE">
        <w:rPr>
          <w:rFonts w:ascii="Times New Roman" w:hAnsi="Times New Roman" w:cs="Times New Roman"/>
          <w:sz w:val="24"/>
          <w:szCs w:val="24"/>
        </w:rPr>
        <w:t>o maksymalnej efektywności</w:t>
      </w:r>
      <w:r w:rsidR="00D74D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F8EA3F" w14:textId="588D1102" w:rsidR="002A666A" w:rsidRDefault="002A666A" w:rsidP="00BF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25E5B" wp14:editId="5E74C6FA">
            <wp:extent cx="2743341" cy="215911"/>
            <wp:effectExtent l="0" t="0" r="0" b="0"/>
            <wp:docPr id="1559247548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47548" name="Obraz 15592475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8523" w14:textId="1F54DE9F" w:rsidR="00006099" w:rsidRDefault="003360B0" w:rsidP="00BF2DE4">
      <w:pPr>
        <w:rPr>
          <w:rFonts w:ascii="Times New Roman" w:hAnsi="Times New Roman" w:cs="Times New Roman"/>
          <w:sz w:val="24"/>
          <w:szCs w:val="24"/>
        </w:rPr>
      </w:pPr>
      <w:r w:rsidRPr="003360B0">
        <w:rPr>
          <w:rFonts w:ascii="Times New Roman" w:hAnsi="Times New Roman" w:cs="Times New Roman"/>
          <w:sz w:val="24"/>
          <w:szCs w:val="24"/>
        </w:rPr>
        <w:t xml:space="preserve">Zmiana wag dla portfela o maksymalnej efektywności, </w:t>
      </w:r>
      <w:r w:rsidR="0049565F">
        <w:rPr>
          <w:rFonts w:ascii="Times New Roman" w:hAnsi="Times New Roman" w:cs="Times New Roman"/>
          <w:sz w:val="24"/>
          <w:szCs w:val="24"/>
        </w:rPr>
        <w:t>optymalizacja</w:t>
      </w:r>
      <w:r w:rsidRPr="003360B0">
        <w:rPr>
          <w:rFonts w:ascii="Times New Roman" w:hAnsi="Times New Roman" w:cs="Times New Roman"/>
          <w:sz w:val="24"/>
          <w:szCs w:val="24"/>
        </w:rPr>
        <w:t xml:space="preserve"> roczn</w:t>
      </w:r>
      <w:r w:rsidR="0049565F">
        <w:rPr>
          <w:rFonts w:ascii="Times New Roman" w:hAnsi="Times New Roman" w:cs="Times New Roman"/>
          <w:sz w:val="24"/>
          <w:szCs w:val="24"/>
        </w:rPr>
        <w:t>a</w:t>
      </w:r>
    </w:p>
    <w:p w14:paraId="0EC30437" w14:textId="1C4417A6" w:rsidR="002A666A" w:rsidRDefault="002A666A" w:rsidP="00BF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C0C39" wp14:editId="55513580">
            <wp:extent cx="5760720" cy="1763395"/>
            <wp:effectExtent l="0" t="0" r="0" b="8255"/>
            <wp:docPr id="1775520033" name="Obraz 10" descr="Obraz zawierający linia, Wykres, diagram, sto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20033" name="Obraz 10" descr="Obraz zawierający linia, Wykres, diagram, stok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ED36" w14:textId="02563258" w:rsidR="0049565F" w:rsidRDefault="0049565F" w:rsidP="00BF2DE4">
      <w:pPr>
        <w:rPr>
          <w:rFonts w:ascii="Times New Roman" w:hAnsi="Times New Roman" w:cs="Times New Roman"/>
          <w:sz w:val="24"/>
          <w:szCs w:val="24"/>
        </w:rPr>
      </w:pPr>
      <w:r w:rsidRPr="0049565F">
        <w:rPr>
          <w:rFonts w:ascii="Times New Roman" w:hAnsi="Times New Roman" w:cs="Times New Roman"/>
          <w:sz w:val="24"/>
          <w:szCs w:val="24"/>
        </w:rPr>
        <w:t xml:space="preserve">Zmiana wag dla portfela o maksymalnej efektywności, </w:t>
      </w:r>
      <w:r>
        <w:rPr>
          <w:rFonts w:ascii="Times New Roman" w:hAnsi="Times New Roman" w:cs="Times New Roman"/>
          <w:sz w:val="24"/>
          <w:szCs w:val="24"/>
        </w:rPr>
        <w:t>optymalizacja</w:t>
      </w:r>
      <w:r w:rsidRPr="0049565F">
        <w:rPr>
          <w:rFonts w:ascii="Times New Roman" w:hAnsi="Times New Roman" w:cs="Times New Roman"/>
          <w:sz w:val="24"/>
          <w:szCs w:val="24"/>
        </w:rPr>
        <w:t xml:space="preserve"> kwartaln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37FB864" w14:textId="14D4BEAC" w:rsidR="002A666A" w:rsidRDefault="002A666A" w:rsidP="00BF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3813C" wp14:editId="78E11246">
            <wp:extent cx="5760720" cy="1763395"/>
            <wp:effectExtent l="0" t="0" r="0" b="8255"/>
            <wp:docPr id="1729640028" name="Obraz 11" descr="Obraz zawierający linia, Wykres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40028" name="Obraz 11" descr="Obraz zawierający linia, Wykres, Czcionk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1DD6" w14:textId="0EEFC492" w:rsidR="0049565F" w:rsidRDefault="0049565F" w:rsidP="00BF2DE4">
      <w:pPr>
        <w:rPr>
          <w:rFonts w:ascii="Times New Roman" w:hAnsi="Times New Roman" w:cs="Times New Roman"/>
          <w:sz w:val="24"/>
          <w:szCs w:val="24"/>
        </w:rPr>
      </w:pPr>
      <w:r w:rsidRPr="0049565F">
        <w:rPr>
          <w:rFonts w:ascii="Times New Roman" w:hAnsi="Times New Roman" w:cs="Times New Roman"/>
          <w:sz w:val="24"/>
          <w:szCs w:val="24"/>
        </w:rPr>
        <w:t xml:space="preserve">Zmiana wag dla portfela o maksymalnej efektywności, optymalizacja </w:t>
      </w:r>
      <w:r>
        <w:rPr>
          <w:rFonts w:ascii="Times New Roman" w:hAnsi="Times New Roman" w:cs="Times New Roman"/>
          <w:sz w:val="24"/>
          <w:szCs w:val="24"/>
        </w:rPr>
        <w:t>miesięczna</w:t>
      </w:r>
    </w:p>
    <w:p w14:paraId="71988AF3" w14:textId="16192092" w:rsidR="002A666A" w:rsidRDefault="002A666A" w:rsidP="00BF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034BD1" wp14:editId="7DDAAAFA">
            <wp:extent cx="5760720" cy="1762125"/>
            <wp:effectExtent l="0" t="0" r="0" b="9525"/>
            <wp:docPr id="1954340407" name="Obraz 12" descr="Obraz zawierający linia, Wykres, zrzut ekranu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40407" name="Obraz 12" descr="Obraz zawierający linia, Wykres, zrzut ekranu, Wielobarwność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E441" w14:textId="6E486DD8" w:rsidR="00110DD5" w:rsidRDefault="00110DD5" w:rsidP="00110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Można zauważyć, że zarówno w przypadku corocznej optymalizacji portfela, jak i kwartalnej oraz miesięcznej skład portfela drastycznie się zmienia. </w:t>
      </w:r>
      <w:r w:rsidRPr="00C00F65">
        <w:rPr>
          <w:rFonts w:ascii="Times New Roman" w:hAnsi="Times New Roman" w:cs="Times New Roman"/>
          <w:sz w:val="24"/>
          <w:szCs w:val="24"/>
        </w:rPr>
        <w:t xml:space="preserve">Oznacza to, że </w:t>
      </w:r>
      <w:r>
        <w:rPr>
          <w:rFonts w:ascii="Times New Roman" w:hAnsi="Times New Roman" w:cs="Times New Roman"/>
          <w:sz w:val="24"/>
          <w:szCs w:val="24"/>
        </w:rPr>
        <w:t xml:space="preserve">w celu maksymalizacji efektów należy regularnie dokonywać dywersyfikacji portfela. </w:t>
      </w:r>
      <w:r w:rsidR="006C4EFF">
        <w:rPr>
          <w:rFonts w:ascii="Times New Roman" w:hAnsi="Times New Roman" w:cs="Times New Roman"/>
          <w:sz w:val="24"/>
          <w:szCs w:val="24"/>
        </w:rPr>
        <w:t xml:space="preserve">Podobny wniosek można </w:t>
      </w:r>
      <w:r w:rsidR="006C4EFF">
        <w:rPr>
          <w:rFonts w:ascii="Times New Roman" w:hAnsi="Times New Roman" w:cs="Times New Roman"/>
          <w:sz w:val="24"/>
          <w:szCs w:val="24"/>
        </w:rPr>
        <w:lastRenderedPageBreak/>
        <w:t xml:space="preserve">wysunąć po analizie </w:t>
      </w:r>
      <w:r w:rsidR="007546EE">
        <w:rPr>
          <w:rFonts w:ascii="Times New Roman" w:hAnsi="Times New Roman" w:cs="Times New Roman"/>
          <w:sz w:val="24"/>
          <w:szCs w:val="24"/>
        </w:rPr>
        <w:t xml:space="preserve">zmian w czasie </w:t>
      </w:r>
      <w:r w:rsidR="006C4EFF">
        <w:rPr>
          <w:rFonts w:ascii="Times New Roman" w:hAnsi="Times New Roman" w:cs="Times New Roman"/>
          <w:sz w:val="24"/>
          <w:szCs w:val="24"/>
        </w:rPr>
        <w:t xml:space="preserve">składu </w:t>
      </w:r>
      <w:r w:rsidR="007546EE">
        <w:rPr>
          <w:rFonts w:ascii="Times New Roman" w:hAnsi="Times New Roman" w:cs="Times New Roman"/>
          <w:sz w:val="24"/>
          <w:szCs w:val="24"/>
        </w:rPr>
        <w:t xml:space="preserve">portfela w przypadku realizowania strategii minimalizowania ryzyka. Odpowiednie wykresy przedstawiono poniżej. </w:t>
      </w:r>
    </w:p>
    <w:p w14:paraId="3D99A001" w14:textId="77777777" w:rsidR="007546EE" w:rsidRDefault="007546EE" w:rsidP="007546EE">
      <w:pPr>
        <w:rPr>
          <w:rFonts w:ascii="Times New Roman" w:hAnsi="Times New Roman" w:cs="Times New Roman"/>
          <w:sz w:val="24"/>
          <w:szCs w:val="24"/>
        </w:rPr>
      </w:pPr>
      <w:r w:rsidRPr="0049565F">
        <w:rPr>
          <w:rFonts w:ascii="Times New Roman" w:hAnsi="Times New Roman" w:cs="Times New Roman"/>
          <w:sz w:val="24"/>
          <w:szCs w:val="24"/>
        </w:rPr>
        <w:t>Zmiana wag dla portfela o</w:t>
      </w:r>
      <w:r w:rsidRPr="00A10FAB">
        <w:rPr>
          <w:rFonts w:ascii="Times New Roman" w:hAnsi="Times New Roman" w:cs="Times New Roman"/>
          <w:sz w:val="24"/>
          <w:szCs w:val="24"/>
        </w:rPr>
        <w:t xml:space="preserve"> minimalnym ryzyku</w:t>
      </w:r>
      <w:r w:rsidRPr="0049565F">
        <w:rPr>
          <w:rFonts w:ascii="Times New Roman" w:hAnsi="Times New Roman" w:cs="Times New Roman"/>
          <w:sz w:val="24"/>
          <w:szCs w:val="24"/>
        </w:rPr>
        <w:t>, optymalizacja roczna</w:t>
      </w:r>
    </w:p>
    <w:p w14:paraId="11BF9B9A" w14:textId="4F3B6DC7" w:rsidR="002A666A" w:rsidRPr="0049565F" w:rsidRDefault="002A666A" w:rsidP="00754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F5252" wp14:editId="680DED03">
            <wp:extent cx="5760720" cy="1762125"/>
            <wp:effectExtent l="0" t="0" r="0" b="9525"/>
            <wp:docPr id="1585732261" name="Obraz 13" descr="Obraz zawierający linia, Wykres, sto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32261" name="Obraz 13" descr="Obraz zawierający linia, Wykres, stok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2419" w14:textId="77777777" w:rsidR="007546EE" w:rsidRDefault="007546EE" w:rsidP="007546EE">
      <w:pPr>
        <w:rPr>
          <w:rFonts w:ascii="Times New Roman" w:hAnsi="Times New Roman" w:cs="Times New Roman"/>
          <w:sz w:val="24"/>
          <w:szCs w:val="24"/>
        </w:rPr>
      </w:pPr>
      <w:r w:rsidRPr="0049565F">
        <w:rPr>
          <w:rFonts w:ascii="Times New Roman" w:hAnsi="Times New Roman" w:cs="Times New Roman"/>
          <w:sz w:val="24"/>
          <w:szCs w:val="24"/>
        </w:rPr>
        <w:t xml:space="preserve">Zmiana wag dla portfela </w:t>
      </w:r>
      <w:r w:rsidRPr="00A10FAB">
        <w:rPr>
          <w:rFonts w:ascii="Times New Roman" w:hAnsi="Times New Roman" w:cs="Times New Roman"/>
          <w:sz w:val="24"/>
          <w:szCs w:val="24"/>
        </w:rPr>
        <w:t>o minimalnym ryzyku</w:t>
      </w:r>
      <w:r w:rsidRPr="0049565F">
        <w:rPr>
          <w:rFonts w:ascii="Times New Roman" w:hAnsi="Times New Roman" w:cs="Times New Roman"/>
          <w:sz w:val="24"/>
          <w:szCs w:val="24"/>
        </w:rPr>
        <w:t>, optymalizacja kwartalna</w:t>
      </w:r>
    </w:p>
    <w:p w14:paraId="3AAD39A9" w14:textId="2011D9F4" w:rsidR="002A666A" w:rsidRPr="0049565F" w:rsidRDefault="002A666A" w:rsidP="00754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31CDC" wp14:editId="00F9E56F">
            <wp:extent cx="5760720" cy="1746885"/>
            <wp:effectExtent l="0" t="0" r="0" b="5715"/>
            <wp:docPr id="1666557621" name="Obraz 14" descr="Obraz zawierający linia, Wykres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57621" name="Obraz 14" descr="Obraz zawierający linia, Wykres, Czcionk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B5D7" w14:textId="77777777" w:rsidR="007546EE" w:rsidRDefault="007546EE" w:rsidP="007546EE">
      <w:pPr>
        <w:rPr>
          <w:rFonts w:ascii="Times New Roman" w:hAnsi="Times New Roman" w:cs="Times New Roman"/>
          <w:sz w:val="24"/>
          <w:szCs w:val="24"/>
        </w:rPr>
      </w:pPr>
      <w:r w:rsidRPr="0049565F">
        <w:rPr>
          <w:rFonts w:ascii="Times New Roman" w:hAnsi="Times New Roman" w:cs="Times New Roman"/>
          <w:sz w:val="24"/>
          <w:szCs w:val="24"/>
        </w:rPr>
        <w:t xml:space="preserve">Zmiana wag dla portfela </w:t>
      </w:r>
      <w:r w:rsidRPr="00A10FAB">
        <w:rPr>
          <w:rFonts w:ascii="Times New Roman" w:hAnsi="Times New Roman" w:cs="Times New Roman"/>
          <w:sz w:val="24"/>
          <w:szCs w:val="24"/>
        </w:rPr>
        <w:t>o minimalnym ryzyku</w:t>
      </w:r>
      <w:r w:rsidRPr="0049565F">
        <w:rPr>
          <w:rFonts w:ascii="Times New Roman" w:hAnsi="Times New Roman" w:cs="Times New Roman"/>
          <w:sz w:val="24"/>
          <w:szCs w:val="24"/>
        </w:rPr>
        <w:t>, optymalizacja miesięczna</w:t>
      </w:r>
    </w:p>
    <w:p w14:paraId="696FDDE8" w14:textId="5293C695" w:rsidR="002A666A" w:rsidRDefault="002A666A" w:rsidP="00754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61D78" wp14:editId="7B52BF8B">
            <wp:extent cx="5760720" cy="1762125"/>
            <wp:effectExtent l="0" t="0" r="0" b="9525"/>
            <wp:docPr id="188102667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2667" name="Obraz 18810266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9CC3" w14:textId="66A02E6E" w:rsidR="00BF2DE4" w:rsidRPr="00BF2DE4" w:rsidRDefault="00BF2DE4" w:rsidP="00BF2DE4">
      <w:pPr>
        <w:rPr>
          <w:rFonts w:ascii="Times New Roman" w:hAnsi="Times New Roman" w:cs="Times New Roman"/>
          <w:sz w:val="24"/>
          <w:szCs w:val="24"/>
        </w:rPr>
      </w:pPr>
    </w:p>
    <w:sectPr w:rsidR="00BF2DE4" w:rsidRPr="00BF2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4F"/>
    <w:rsid w:val="000016B8"/>
    <w:rsid w:val="00006099"/>
    <w:rsid w:val="0003252F"/>
    <w:rsid w:val="0003459A"/>
    <w:rsid w:val="00041AD7"/>
    <w:rsid w:val="000531B6"/>
    <w:rsid w:val="00054631"/>
    <w:rsid w:val="00057C98"/>
    <w:rsid w:val="000663B9"/>
    <w:rsid w:val="000669BF"/>
    <w:rsid w:val="00080A44"/>
    <w:rsid w:val="000A20EA"/>
    <w:rsid w:val="000C3C4F"/>
    <w:rsid w:val="00101B03"/>
    <w:rsid w:val="00110DD5"/>
    <w:rsid w:val="00152E20"/>
    <w:rsid w:val="00187487"/>
    <w:rsid w:val="001A0648"/>
    <w:rsid w:val="001B1F62"/>
    <w:rsid w:val="001C2898"/>
    <w:rsid w:val="001F69A4"/>
    <w:rsid w:val="00210AC5"/>
    <w:rsid w:val="00234352"/>
    <w:rsid w:val="00235E99"/>
    <w:rsid w:val="0027179F"/>
    <w:rsid w:val="00295B35"/>
    <w:rsid w:val="002A666A"/>
    <w:rsid w:val="002B23AE"/>
    <w:rsid w:val="002B7144"/>
    <w:rsid w:val="002C2A10"/>
    <w:rsid w:val="002E6874"/>
    <w:rsid w:val="00304658"/>
    <w:rsid w:val="00312E9D"/>
    <w:rsid w:val="00317715"/>
    <w:rsid w:val="003238AD"/>
    <w:rsid w:val="00327037"/>
    <w:rsid w:val="003360B0"/>
    <w:rsid w:val="00345E33"/>
    <w:rsid w:val="003603FB"/>
    <w:rsid w:val="00366492"/>
    <w:rsid w:val="00383A7E"/>
    <w:rsid w:val="00384768"/>
    <w:rsid w:val="00385041"/>
    <w:rsid w:val="003864A3"/>
    <w:rsid w:val="00387E9F"/>
    <w:rsid w:val="00391174"/>
    <w:rsid w:val="003B24DA"/>
    <w:rsid w:val="003B6A09"/>
    <w:rsid w:val="003D0292"/>
    <w:rsid w:val="003E045C"/>
    <w:rsid w:val="00407F1C"/>
    <w:rsid w:val="004175BA"/>
    <w:rsid w:val="0042078E"/>
    <w:rsid w:val="0042132C"/>
    <w:rsid w:val="004947EB"/>
    <w:rsid w:val="0049565F"/>
    <w:rsid w:val="004A042C"/>
    <w:rsid w:val="004A4F04"/>
    <w:rsid w:val="004A540E"/>
    <w:rsid w:val="004B257C"/>
    <w:rsid w:val="004E6E49"/>
    <w:rsid w:val="005028AA"/>
    <w:rsid w:val="00512777"/>
    <w:rsid w:val="0051664A"/>
    <w:rsid w:val="00516B49"/>
    <w:rsid w:val="0053076A"/>
    <w:rsid w:val="005455A2"/>
    <w:rsid w:val="00573721"/>
    <w:rsid w:val="00585F52"/>
    <w:rsid w:val="005C2549"/>
    <w:rsid w:val="005E00D1"/>
    <w:rsid w:val="00686979"/>
    <w:rsid w:val="00692DE7"/>
    <w:rsid w:val="006A5269"/>
    <w:rsid w:val="006C4EFF"/>
    <w:rsid w:val="006C534F"/>
    <w:rsid w:val="006F1C36"/>
    <w:rsid w:val="007212BC"/>
    <w:rsid w:val="00723CE6"/>
    <w:rsid w:val="0073454B"/>
    <w:rsid w:val="00740DC8"/>
    <w:rsid w:val="00752486"/>
    <w:rsid w:val="007546EE"/>
    <w:rsid w:val="007624A5"/>
    <w:rsid w:val="007712EA"/>
    <w:rsid w:val="00784D01"/>
    <w:rsid w:val="00792362"/>
    <w:rsid w:val="007C4BBC"/>
    <w:rsid w:val="007D52D5"/>
    <w:rsid w:val="007E4579"/>
    <w:rsid w:val="00813A41"/>
    <w:rsid w:val="0084739D"/>
    <w:rsid w:val="008576AE"/>
    <w:rsid w:val="00881879"/>
    <w:rsid w:val="00887CF3"/>
    <w:rsid w:val="008B0491"/>
    <w:rsid w:val="008C2369"/>
    <w:rsid w:val="008C55F2"/>
    <w:rsid w:val="008D1880"/>
    <w:rsid w:val="008E1043"/>
    <w:rsid w:val="00936989"/>
    <w:rsid w:val="0094097D"/>
    <w:rsid w:val="00943D8D"/>
    <w:rsid w:val="00947165"/>
    <w:rsid w:val="00963A31"/>
    <w:rsid w:val="00970BB2"/>
    <w:rsid w:val="00995B43"/>
    <w:rsid w:val="009A6DE4"/>
    <w:rsid w:val="009B40FC"/>
    <w:rsid w:val="009C0D38"/>
    <w:rsid w:val="009C4191"/>
    <w:rsid w:val="009E0420"/>
    <w:rsid w:val="009E06B0"/>
    <w:rsid w:val="00A0490A"/>
    <w:rsid w:val="00A055AF"/>
    <w:rsid w:val="00A10FAB"/>
    <w:rsid w:val="00A1637A"/>
    <w:rsid w:val="00A37642"/>
    <w:rsid w:val="00A404DF"/>
    <w:rsid w:val="00A64C86"/>
    <w:rsid w:val="00A66A81"/>
    <w:rsid w:val="00A71BFE"/>
    <w:rsid w:val="00A75CB7"/>
    <w:rsid w:val="00A920B8"/>
    <w:rsid w:val="00AA1A4C"/>
    <w:rsid w:val="00AA473B"/>
    <w:rsid w:val="00AA70E1"/>
    <w:rsid w:val="00AC3C89"/>
    <w:rsid w:val="00B37490"/>
    <w:rsid w:val="00B53DFD"/>
    <w:rsid w:val="00B6067D"/>
    <w:rsid w:val="00B634CA"/>
    <w:rsid w:val="00B91549"/>
    <w:rsid w:val="00BB1F07"/>
    <w:rsid w:val="00BC7E6C"/>
    <w:rsid w:val="00BE411B"/>
    <w:rsid w:val="00BF2DE4"/>
    <w:rsid w:val="00C00F65"/>
    <w:rsid w:val="00C0160D"/>
    <w:rsid w:val="00C17FCB"/>
    <w:rsid w:val="00C3627D"/>
    <w:rsid w:val="00C43378"/>
    <w:rsid w:val="00C62A7D"/>
    <w:rsid w:val="00C657FD"/>
    <w:rsid w:val="00C777CB"/>
    <w:rsid w:val="00C845C2"/>
    <w:rsid w:val="00C93B61"/>
    <w:rsid w:val="00C94313"/>
    <w:rsid w:val="00CD1D90"/>
    <w:rsid w:val="00D12832"/>
    <w:rsid w:val="00D45295"/>
    <w:rsid w:val="00D614AF"/>
    <w:rsid w:val="00D6636F"/>
    <w:rsid w:val="00D74D56"/>
    <w:rsid w:val="00D7508B"/>
    <w:rsid w:val="00D87735"/>
    <w:rsid w:val="00D92ECF"/>
    <w:rsid w:val="00DA35EF"/>
    <w:rsid w:val="00DB1026"/>
    <w:rsid w:val="00DB27F5"/>
    <w:rsid w:val="00DE769D"/>
    <w:rsid w:val="00E07C88"/>
    <w:rsid w:val="00E25321"/>
    <w:rsid w:val="00E32DFC"/>
    <w:rsid w:val="00E8082A"/>
    <w:rsid w:val="00E860F5"/>
    <w:rsid w:val="00E93E64"/>
    <w:rsid w:val="00EA30D3"/>
    <w:rsid w:val="00EB5883"/>
    <w:rsid w:val="00EC5120"/>
    <w:rsid w:val="00EE1BC0"/>
    <w:rsid w:val="00EE49B7"/>
    <w:rsid w:val="00F110A7"/>
    <w:rsid w:val="00F11E2A"/>
    <w:rsid w:val="00F1292F"/>
    <w:rsid w:val="00F162E0"/>
    <w:rsid w:val="00F422AF"/>
    <w:rsid w:val="00F609A5"/>
    <w:rsid w:val="00F75774"/>
    <w:rsid w:val="00F919B8"/>
    <w:rsid w:val="00FC529F"/>
    <w:rsid w:val="00FF0928"/>
    <w:rsid w:val="00FF4C9D"/>
    <w:rsid w:val="00FF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6F93"/>
  <w15:chartTrackingRefBased/>
  <w15:docId w15:val="{591D1227-F2EC-4194-853A-B7BC1B3B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5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C5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C5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5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C5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C5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C5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C5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C5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5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C5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C5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534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C534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C534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C534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C534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C534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C5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5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5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C5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C5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C534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C534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C534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C5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C534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C5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2537</TotalTime>
  <Pages>6</Pages>
  <Words>1049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Juchniewicz</dc:creator>
  <cp:keywords/>
  <dc:description/>
  <cp:lastModifiedBy>Ola Juchniewicz</cp:lastModifiedBy>
  <cp:revision>173</cp:revision>
  <dcterms:created xsi:type="dcterms:W3CDTF">2024-11-24T11:48:00Z</dcterms:created>
  <dcterms:modified xsi:type="dcterms:W3CDTF">2024-11-28T18:30:00Z</dcterms:modified>
</cp:coreProperties>
</file>