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38.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Tickborne</w:t>
      </w:r>
      <w:r>
        <w:t xml:space="preserve"> </w:t>
      </w:r>
      <w:r>
        <w:t xml:space="preserve">Disease</w:t>
      </w:r>
      <w:r>
        <w:t xml:space="preserve"> </w:t>
      </w:r>
      <w:r>
        <w:t xml:space="preserve">Prevalence</w:t>
      </w:r>
      <w:r>
        <w:t xml:space="preserve"> </w:t>
      </w:r>
      <w:r>
        <w:t xml:space="preserve">and</w:t>
      </w:r>
      <w:r>
        <w:t xml:space="preserve"> </w:t>
      </w:r>
      <w:r>
        <w:t xml:space="preserve">the</w:t>
      </w:r>
      <w:r>
        <w:t xml:space="preserve"> </w:t>
      </w:r>
      <w:r>
        <w:t xml:space="preserve">Effects</w:t>
      </w:r>
      <w:r>
        <w:t xml:space="preserve"> </w:t>
      </w:r>
      <w:r>
        <w:t xml:space="preserve">Habitat</w:t>
      </w:r>
      <w:r>
        <w:t xml:space="preserve"> </w:t>
      </w:r>
      <w:r>
        <w:t xml:space="preserve">and</w:t>
      </w:r>
      <w:r>
        <w:t xml:space="preserve"> </w:t>
      </w:r>
      <w:r>
        <w:t xml:space="preserve">the</w:t>
      </w:r>
      <w:r>
        <w:t xml:space="preserve"> </w:t>
      </w:r>
      <w:r>
        <w:t xml:space="preserve">Microbial</w:t>
      </w:r>
      <w:r>
        <w:t xml:space="preserve"> </w:t>
      </w:r>
      <w:r>
        <w:t xml:space="preserve">Community</w:t>
      </w:r>
      <w:r>
        <w:t xml:space="preserve"> </w:t>
      </w:r>
      <w:r>
        <w:t xml:space="preserve">Play</w:t>
      </w:r>
    </w:p>
    <w:p>
      <w:pPr>
        <w:pStyle w:val="Author"/>
      </w:pPr>
      <w:r>
        <w:t xml:space="preserve">Julia</w:t>
      </w:r>
      <w:r>
        <w:t xml:space="preserve"> </w:t>
      </w:r>
      <w:r>
        <w:t xml:space="preserve">Frederick</w:t>
      </w:r>
    </w:p>
    <w:p>
      <w:pPr>
        <w:pStyle w:val="Date"/>
      </w:pPr>
      <w:r>
        <w:t xml:space="preserve">2019-11-13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2" w:name="introduction-required-for-part-1"/>
      <w:r>
        <w:t xml:space="preserve">Introduction (required for part 1)</w:t>
      </w:r>
      <w:bookmarkEnd w:id="22"/>
    </w:p>
    <w:p>
      <w:pPr>
        <w:pStyle w:val="Heading2"/>
      </w:pPr>
      <w:bookmarkStart w:id="23" w:name="general-background-information"/>
      <w:r>
        <w:t xml:space="preserve">General Background Information</w:t>
      </w:r>
      <w:bookmarkEnd w:id="23"/>
    </w:p>
    <w:p>
      <w:pPr>
        <w:pStyle w:val="FirstParagraph"/>
      </w:pPr>
      <w:r>
        <w:rPr>
          <w:i/>
        </w:rPr>
        <w:t xml:space="preserve">Provide enough background on your topic that others can understand the why and how of your analysis</w:t>
      </w:r>
      <w:r>
        <w:br w:type="textWrapping"/>
      </w:r>
      <w:r>
        <w:t xml:space="preserve">Tickborne disease prevalence is on the rise in the United States with 50,000 cases being confirmed by the CDC each year. The number one vector borne disease in the US is Lyme disease with 30,000 cases reported annually, and the Center for Disease Control and Prevention (CDC) estimating over 300,000 cases actually occurring</w:t>
      </w:r>
      <w:r>
        <w:t xml:space="preserve"> </w:t>
      </w:r>
      <w:r>
        <w:t xml:space="preserve">(Vector-Borne Disease, 2019)</w:t>
      </w:r>
      <w:r>
        <w:t xml:space="preserve">. Understanding how these pathogens are being moved throughout the environment gives insight into risk prevention efforts and effective targets. Especially when considering that a single species of tick is capable of transmitting multiple disease pathogens</w:t>
      </w:r>
      <w:r>
        <w:t xml:space="preserve"> </w:t>
      </w:r>
      <w:r>
        <w:t xml:space="preserve">(Adelson et al., 2004)</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For example, native species,</w:t>
      </w:r>
      <w:r>
        <w:t xml:space="preserve"> </w:t>
      </w:r>
      <w:r>
        <w:rPr>
          <w:i/>
        </w:rPr>
        <w:t xml:space="preserve">Ixodes scapularis</w:t>
      </w:r>
      <w:r>
        <w:t xml:space="preserve"> </w:t>
      </w:r>
      <w:r>
        <w:t xml:space="preserve">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Multiple of these pathogens have been found in a single tick during field studies (co-infection) [REF]. Current research focusing on the dynamics of these co-infections has shown there to be correlations between specific pathogens occuring in higher frequencies [REF]. These co-infections can have an impact on human health and diagnostic tests used for detecting the specific pathogens [REF]. This isn’t only an issue within species, because many tick species are the main vector for specific pathogens and these species can feed on the same source which will mingle the pathogens between species. When investing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4" w:name="description-of-data-and-data-source"/>
      <w:r>
        <w:t xml:space="preserve">Description of data and data source</w:t>
      </w:r>
      <w:bookmarkEnd w:id="24"/>
    </w:p>
    <w:p>
      <w:pPr>
        <w:pStyle w:val="FirstParagraph"/>
      </w:pPr>
      <w:r>
        <w:rPr>
          <w:i/>
        </w:rPr>
        <w:t xml:space="preserve">Describe what the data is, what it contains, where it is from, etc.</w:t>
      </w:r>
      <w:r>
        <w:br w:type="textWrapping"/>
      </w:r>
      <w:r>
        <w:t xml:space="preserve">Through the Southeastern Coopertative Wildlife Disease Study (SCWDS) ticks were collected from the eastern region of the United States over the course of a year, the ticks used in this study were all from Georgia. When collected the habitat type and location was recorded for future reference. These ticks were then IDed,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through morphology, and the life stage the tick was collected. The habitat information includes: season, region, site, and general habitat.</w:t>
      </w:r>
    </w:p>
    <w:p>
      <w:pPr>
        <w:pStyle w:val="Heading2"/>
      </w:pPr>
      <w:bookmarkStart w:id="25" w:name="questionshypotheses-to-be-addressed"/>
      <w:r>
        <w:t xml:space="preserve">Questions/Hypotheses to be addressed</w:t>
      </w:r>
      <w:bookmarkEnd w:id="25"/>
    </w:p>
    <w:p>
      <w:pPr>
        <w:pStyle w:val="FirstParagraph"/>
      </w:pPr>
      <w:r>
        <w:rPr>
          <w:i/>
        </w:rPr>
        <w:t xml:space="preserve">State the research questions you plan to answer with this analysis</w:t>
      </w:r>
      <w:r>
        <w:br w:type="textWrapping"/>
      </w:r>
      <w:r>
        <w:rPr>
          <w:b/>
        </w:rPr>
        <w:t xml:space="preserve">1. How the habitat effects the prevalence of pathogens in ticks?</w:t>
      </w:r>
      <w:r>
        <w:br w:type="textWrapping"/>
      </w:r>
      <w:r>
        <w:t xml:space="preserve">The habitats are broken into a few different locations, some more rural than others. The effect of habitat on pathogen prevalence is likely due to the different community make-up in each location. Doing this will give us an idea of how the community can sway pathogen prevalence in the select environment. In order to answer this question we will use an ANOVA, looking at habitat type and specific pathogen.</w:t>
      </w:r>
      <w:r>
        <w:br w:type="textWrapping"/>
      </w:r>
      <w:r>
        <w:rPr>
          <w:b/>
        </w:rPr>
        <w:t xml:space="preserve">2. What factors have the greatest influence on a tick carrying a pathogen?</w:t>
      </w:r>
      <w:r>
        <w:t xml:space="preserve"> </w:t>
      </w:r>
      <w:r>
        <w:rPr>
          <w:b/>
        </w:rPr>
        <w:t xml:space="preserve">3. What influences</w:t>
      </w:r>
      <w:r>
        <w:rPr>
          <w:b/>
        </w:rPr>
        <w:t xml:space="preserve"> </w:t>
      </w:r>
      <w:r>
        <w:rPr>
          <w:i/>
          <w:b/>
        </w:rPr>
        <w:t xml:space="preserve">Ixodes scapularis</w:t>
      </w:r>
      <w:r>
        <w:rPr>
          <w:b/>
        </w:rPr>
        <w:t xml:space="preserve"> </w:t>
      </w:r>
      <w:r>
        <w:rPr>
          <w:b/>
        </w:rPr>
        <w:t xml:space="preserve">to have</w:t>
      </w:r>
      <w:r>
        <w:rPr>
          <w:b/>
        </w:rPr>
        <w:t xml:space="preserve"> </w:t>
      </w:r>
      <w:r>
        <w:rPr>
          <w:i/>
          <w:b/>
        </w:rPr>
        <w:t xml:space="preserve">Borrelia spp.</w:t>
      </w:r>
      <w:r>
        <w:rPr>
          <w:b/>
        </w:rPr>
        <w:t xml:space="preserve">?</w:t>
      </w:r>
    </w:p>
    <w:p>
      <w:pPr>
        <w:pStyle w:val="Heading1"/>
      </w:pPr>
      <w:bookmarkStart w:id="26" w:name="methods-and-results"/>
      <w:r>
        <w:t xml:space="preserve">Methods and Results</w:t>
      </w:r>
      <w:bookmarkEnd w:id="26"/>
    </w:p>
    <w:p>
      <w:pPr>
        <w:pStyle w:val="Heading2"/>
      </w:pPr>
      <w:bookmarkStart w:id="27" w:name="data-aquisition"/>
      <w:r>
        <w:t xml:space="preserve">Data aquisition</w:t>
      </w:r>
      <w:bookmarkEnd w:id="27"/>
    </w:p>
    <w:p>
      <w:pPr>
        <w:pStyle w:val="FirstParagraph"/>
      </w:pPr>
      <w:r>
        <w:rPr>
          <w:i/>
        </w:rPr>
        <w:t xml:space="preserve">As applicable, explain where and how you got the data. If you directly import the data from an online source, you can combine this section with the next.</w:t>
      </w:r>
      <w:r>
        <w:br w:type="textWrapping"/>
      </w:r>
      <w:r>
        <w:t xml:space="preserve">Through the Southeastern Coopertative Wildlife Disease Study (SCWDS) ticks were collected from the eastern region of the United States over the course of a year, the ticks used in this study were all from Georgia. In order to collect the ticks typical drag sampling was done in each transect of the area, with checks being done of the drag every 10m. When collected the habitat type and location was recorded for future reference. These ticks were then IDed through morphology,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 habitat information includes: season, region, site, and general habitat.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8" w:name="data-import-and-cleaning"/>
      <w:r>
        <w:t xml:space="preserve">Data import and cleaning</w:t>
      </w:r>
      <w:bookmarkEnd w:id="28"/>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r>
        <w:br w:type="textWrapping"/>
      </w:r>
      <w:r>
        <w:t xml:space="preserve">The data is originally imported from a</w:t>
      </w:r>
      <w:r>
        <w:t xml:space="preserve"> </w:t>
      </w:r>
      <w:r>
        <w:rPr>
          <w:rStyle w:val="VerbatimChar"/>
        </w:rPr>
        <w:t xml:space="preserve">.csv</w:t>
      </w:r>
      <w:r>
        <w:t xml:space="preserve"> </w:t>
      </w:r>
      <w:r>
        <w:t xml:space="preserve">file which includes 16 variables and 1968 observations. These observations are from either a single nymph, a single adult, or a pool of larvae. The larvae need to be pooled as individually they do not contain enough DNA for detection. However, larvae could only be infected with pathogens that are transovarially passed to the offspring (like Rickettsia) and the two pathogens consistently tested for (</w:t>
      </w:r>
      <w:r>
        <w:rPr>
          <w:i/>
        </w:rPr>
        <w:t xml:space="preserve">A. phagocytophilum</w:t>
      </w:r>
      <w:r>
        <w:t xml:space="preserve"> </w:t>
      </w:r>
      <w:r>
        <w:t xml:space="preserve">and</w:t>
      </w:r>
      <w:r>
        <w:t xml:space="preserve"> </w:t>
      </w:r>
      <w:r>
        <w:rPr>
          <w:i/>
        </w:rPr>
        <w:t xml:space="preserve">Borrelia spp.</w:t>
      </w:r>
      <w:r>
        <w:t xml:space="preserve">) are not known to be transmitted in this way. In order to clean this data we first will import the data so all empty observations are coded as NA. Then we need to adjust a few levels within our variables because they have extra spaces or a spelled incorrectly. Once these are fixed we calculate the total number of pathogens found within single individuals. This is our main outcome of interest instead of looking at individual pathogens which weren’t consistently tested.</w:t>
      </w:r>
    </w:p>
    <w:p>
      <w:pPr>
        <w:pStyle w:val="Heading2"/>
      </w:pPr>
      <w:bookmarkStart w:id="29" w:name="univariate-analysis"/>
      <w:r>
        <w:t xml:space="preserve">Univariate analysis</w:t>
      </w:r>
      <w:bookmarkEnd w:id="29"/>
    </w:p>
    <w:p>
      <w:pPr>
        <w:pStyle w:val="Heading3"/>
      </w:pPr>
      <w:bookmarkStart w:id="30" w:name="X88bc2188677578560844c7f869f2e95d3a19142"/>
      <w:r>
        <w:t xml:space="preserve">Dr. Handel - Most of my variables are categorical, so I’m not sure what the best analysis methods are, I tried applying what we used in class but I don’t know.</w:t>
      </w:r>
      <w:bookmarkEnd w:id="30"/>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BodyText"/>
      </w:pPr>
      <w:r>
        <w:t xml:space="preserve">When comparing the prevalence of pathogens in all tick species in different habitats, trends begin to emerge. Here we look at how the total number of positive individuals are broken down by species (fig 1). From here we can see that</w:t>
      </w:r>
      <w:r>
        <w:t xml:space="preserve"> </w:t>
      </w:r>
      <w:r>
        <w:rPr>
          <w:i/>
        </w:rPr>
        <w:t xml:space="preserve">Rickettsia</w:t>
      </w:r>
      <w:r>
        <w:t xml:space="preserve"> </w:t>
      </w:r>
      <w:r>
        <w:t xml:space="preserve">is the most common pathogen in</w:t>
      </w:r>
      <w:r>
        <w:t xml:space="preserve"> </w:t>
      </w:r>
      <w:r>
        <w:rPr>
          <w:i/>
        </w:rPr>
        <w:t xml:space="preserve">A. americanum</w:t>
      </w:r>
      <w:r>
        <w:t xml:space="preserve">.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w:t>
      </w:r>
      <w:r>
        <w:br w:type="textWrapping"/>
      </w:r>
      <w:r>
        <w:drawing>
          <wp:inline>
            <wp:extent cx="4587290" cy="3669832"/>
            <wp:effectExtent b="0" l="0" r="0" t="0"/>
            <wp:docPr descr="Figure 1. Pathogen prevalence per species. This figure shows the number of individuals per species that tested positive for a particular pathogen"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1. Pathogen prevalence per species. This figure shows the number of individuals per species that tested positive for a particular pathogen.</w:t>
      </w:r>
    </w:p>
    <w:p>
      <w:pPr>
        <w:pStyle w:val="BodyText"/>
      </w:pPr>
      <w:r>
        <w:t xml:space="preserve">We can also use this dataset to see if lifestage has any relationship to habitat (fig 2). Overall, we can see that BHL and Upland have the most ticks of any lifestage found throughout it. However, there are pockets in Upland that have large numbers of nymphs found in a single transect which is an interesting phenomenom.</w:t>
      </w:r>
      <w:r>
        <w:br w:type="textWrapping"/>
      </w:r>
      <w:r>
        <w:drawing>
          <wp:inline>
            <wp:extent cx="4587290" cy="3669832"/>
            <wp:effectExtent b="0" l="0" r="0" t="0"/>
            <wp:docPr descr="Figure 2. Tick lifestage versus the habitat. This figure shows the number of individuals in each lifestage found in the different habitats." title="" id="1" name="Picture"/>
            <a:graphic>
              <a:graphicData uri="http://schemas.openxmlformats.org/drawingml/2006/picture">
                <pic:pic>
                  <pic:nvPicPr>
                    <pic:cNvPr descr="../../results/lifeLandfigure.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2. Tick lifestage versus the habitat. This figure shows the number of individuals in each lifestage found in the different habitats.</w:t>
      </w:r>
    </w:p>
    <w:p>
      <w:pPr>
        <w:pStyle w:val="BodyText"/>
      </w:pPr>
      <w:r>
        <w:drawing>
          <wp:inline>
            <wp:extent cx="4587290" cy="3669832"/>
            <wp:effectExtent b="0" l="0" r="0" t="0"/>
            <wp:docPr descr="Figure 3. Borrelia.spp Prevalence in Different Regions for Ixodes scapularis" title="" id="1" name="Picture"/>
            <a:graphic>
              <a:graphicData uri="http://schemas.openxmlformats.org/drawingml/2006/picture">
                <pic:pic>
                  <pic:nvPicPr>
                    <pic:cNvPr descr="../../results/BorrRegionfigure.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Figure 3. Borrelia.spp Prevalence in Different Regions for</w:t>
      </w:r>
      <w:r>
        <w:t xml:space="preserve"> </w:t>
      </w:r>
      <w:r>
        <w:rPr>
          <w:i/>
        </w:rPr>
        <w:t xml:space="preserve">Ixodes scapularis</w:t>
      </w:r>
      <w:r>
        <w:t xml:space="preserve">. This figure shows the different Regions have similar sampling efforts and also that Borrelia.spp positive samples are significantly less than negative samples.</w:t>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3"/>
      </w:pPr>
      <w:bookmarkStart w:id="35" w:name="X93ab23a9a4ab4cfb87d6ea38ea2c10e6797ac8c"/>
      <w:r>
        <w:t xml:space="preserve">Dr. Handel - I’m not sure of the best way to present these tables</w:t>
      </w:r>
      <w:bookmarkEnd w:id="35"/>
    </w:p>
    <w:p>
      <w:pPr>
        <w:pStyle w:val="SourceCode"/>
      </w:pPr>
      <w:r>
        <w:rPr>
          <w:rStyle w:val="NormalTok"/>
        </w:rPr>
        <w:t xml:space="preserve">lmtablePathHab &lt;-</w:t>
      </w:r>
      <w:r>
        <w:rPr>
          <w:rStyle w:val="StringTok"/>
        </w:rPr>
        <w:t xml:space="preserve"> </w:t>
      </w:r>
      <w:r>
        <w:rPr>
          <w:rStyle w:val="KeywordTok"/>
        </w:rPr>
        <w:t xml:space="preserve">readRDS</w:t>
      </w:r>
      <w:r>
        <w:rPr>
          <w:rStyle w:val="NormalTok"/>
        </w:rPr>
        <w:t xml:space="preserve">(</w:t>
      </w:r>
      <w:r>
        <w:rPr>
          <w:rStyle w:val="StringTok"/>
        </w:rPr>
        <w:t xml:space="preserve">"../../results/resulttablePathHab.rds"</w:t>
      </w:r>
      <w:r>
        <w:rPr>
          <w:rStyle w:val="NormalTok"/>
        </w:rPr>
        <w:t xml:space="preserve">)</w:t>
      </w:r>
      <w:r>
        <w:br w:type="textWrapping"/>
      </w:r>
      <w:r>
        <w:rPr>
          <w:rStyle w:val="NormalTok"/>
        </w:rPr>
        <w:t xml:space="preserve">lmtablePathSea &lt;-</w:t>
      </w:r>
      <w:r>
        <w:rPr>
          <w:rStyle w:val="StringTok"/>
        </w:rPr>
        <w:t xml:space="preserve"> </w:t>
      </w:r>
      <w:r>
        <w:rPr>
          <w:rStyle w:val="KeywordTok"/>
        </w:rPr>
        <w:t xml:space="preserve">readRDS</w:t>
      </w:r>
      <w:r>
        <w:rPr>
          <w:rStyle w:val="NormalTok"/>
        </w:rPr>
        <w:t xml:space="preserve">(</w:t>
      </w:r>
      <w:r>
        <w:rPr>
          <w:rStyle w:val="StringTok"/>
        </w:rPr>
        <w:t xml:space="preserve">"../../results/resulttablePathSea.rds"</w:t>
      </w:r>
      <w:r>
        <w:rPr>
          <w:rStyle w:val="NormalTok"/>
        </w:rPr>
        <w:t xml:space="preserve">)</w:t>
      </w:r>
      <w:r>
        <w:br w:type="textWrapping"/>
      </w:r>
      <w:r>
        <w:rPr>
          <w:rStyle w:val="NormalTok"/>
        </w:rPr>
        <w:t xml:space="preserve">lmtablePathSpe &lt;-</w:t>
      </w:r>
      <w:r>
        <w:rPr>
          <w:rStyle w:val="StringTok"/>
        </w:rPr>
        <w:t xml:space="preserve"> </w:t>
      </w:r>
      <w:r>
        <w:rPr>
          <w:rStyle w:val="KeywordTok"/>
        </w:rPr>
        <w:t xml:space="preserve">readRDS</w:t>
      </w:r>
      <w:r>
        <w:rPr>
          <w:rStyle w:val="NormalTok"/>
        </w:rPr>
        <w:t xml:space="preserve">(</w:t>
      </w:r>
      <w:r>
        <w:rPr>
          <w:rStyle w:val="StringTok"/>
        </w:rPr>
        <w:t xml:space="preserve">"../../results/resulttablePathSpe.rds"</w:t>
      </w:r>
      <w:r>
        <w:rPr>
          <w:rStyle w:val="NormalTok"/>
        </w:rPr>
        <w:t xml:space="preserve">)</w:t>
      </w:r>
      <w:r>
        <w:br w:type="textWrapping"/>
      </w:r>
      <w:r>
        <w:rPr>
          <w:rStyle w:val="NormalTok"/>
        </w:rPr>
        <w:t xml:space="preserve">lmtableBor &lt;-</w:t>
      </w:r>
      <w:r>
        <w:rPr>
          <w:rStyle w:val="StringTok"/>
        </w:rPr>
        <w:t xml:space="preserve"> </w:t>
      </w:r>
      <w:r>
        <w:rPr>
          <w:rStyle w:val="KeywordTok"/>
        </w:rPr>
        <w:t xml:space="preserve">readRDS</w:t>
      </w:r>
      <w:r>
        <w:rPr>
          <w:rStyle w:val="NormalTok"/>
        </w:rPr>
        <w:t xml:space="preserve">(</w:t>
      </w:r>
      <w:r>
        <w:rPr>
          <w:rStyle w:val="StringTok"/>
        </w:rPr>
        <w:t xml:space="preserve">"../../results/resulttableBor.rds"</w:t>
      </w:r>
      <w:r>
        <w:rPr>
          <w:rStyle w:val="NormalTok"/>
        </w:rPr>
        <w:t xml:space="preserve">)</w:t>
      </w:r>
      <w:r>
        <w:br w:type="textWrapping"/>
      </w:r>
      <w:r>
        <w:br w:type="textWrapping"/>
      </w:r>
      <w:r>
        <w:rPr>
          <w:rStyle w:val="KeywordTok"/>
        </w:rPr>
        <w:t xml:space="preserve">kable</w:t>
      </w:r>
      <w:r>
        <w:rPr>
          <w:rStyle w:val="NormalTok"/>
        </w:rPr>
        <w:t xml:space="preserve">(lmtablePathHab, </w:t>
      </w:r>
      <w:r>
        <w:rPr>
          <w:rStyle w:val="DataTypeTok"/>
        </w:rPr>
        <w:t xml:space="preserve">caption =</w:t>
      </w:r>
      <w:r>
        <w:rPr>
          <w:rStyle w:val="NormalTok"/>
        </w:rPr>
        <w:t xml:space="preserve"> </w:t>
      </w:r>
      <w:r>
        <w:rPr>
          <w:rStyle w:val="StringTok"/>
        </w:rPr>
        <w:t xml:space="preserve">"Table 1. How the different habitats are related to total pathogen"</w:t>
      </w:r>
      <w:r>
        <w:rPr>
          <w:rStyle w:val="NormalTok"/>
        </w:rPr>
        <w:t xml:space="preserve">)</w:t>
      </w:r>
    </w:p>
    <w:p>
      <w:pPr>
        <w:pStyle w:val="TableCaption"/>
      </w:pPr>
      <w:r>
        <w:t xml:space="preserve">Table 1: Table 1. How the different habitats are related to total pathogen</w:t>
      </w:r>
    </w:p>
    <w:tbl>
      <w:tblPr>
        <w:tblStyle w:val="Table"/>
        <w:tblW w:type="pct" w:w="0.0"/>
        <w:tblLook w:firstRow="1"/>
        <w:tblCaption w:val="Table 1: Table 1. How the different habitats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0.1598361</w:t>
            </w:r>
          </w:p>
        </w:tc>
        <w:tc>
          <w:p>
            <w:pPr>
              <w:pStyle w:val="Compact"/>
              <w:jc w:val="right"/>
            </w:pPr>
            <w:r>
              <w:t xml:space="preserve">0.0217010</w:t>
            </w:r>
          </w:p>
        </w:tc>
        <w:tc>
          <w:p>
            <w:pPr>
              <w:pStyle w:val="Compact"/>
              <w:jc w:val="right"/>
            </w:pPr>
            <w:r>
              <w:t xml:space="preserve">7.3653809</w:t>
            </w:r>
          </w:p>
        </w:tc>
        <w:tc>
          <w:p>
            <w:pPr>
              <w:pStyle w:val="Compact"/>
              <w:jc w:val="right"/>
            </w:pPr>
            <w:r>
              <w:t xml:space="preserve">0.0000000</w:t>
            </w:r>
          </w:p>
        </w:tc>
      </w:tr>
      <w:tr>
        <w:tc>
          <w:p>
            <w:pPr>
              <w:pStyle w:val="Compact"/>
              <w:jc w:val="left"/>
            </w:pPr>
            <w:r>
              <w:t xml:space="preserve">HabitatMaritime forest</w:t>
            </w:r>
          </w:p>
        </w:tc>
        <w:tc>
          <w:p>
            <w:pPr>
              <w:pStyle w:val="Compact"/>
              <w:jc w:val="right"/>
            </w:pPr>
            <w:r>
              <w:t xml:space="preserve">0.0276639</w:t>
            </w:r>
          </w:p>
        </w:tc>
        <w:tc>
          <w:p>
            <w:pPr>
              <w:pStyle w:val="Compact"/>
              <w:jc w:val="right"/>
            </w:pPr>
            <w:r>
              <w:t xml:space="preserve">0.0874795</w:t>
            </w:r>
          </w:p>
        </w:tc>
        <w:tc>
          <w:p>
            <w:pPr>
              <w:pStyle w:val="Compact"/>
              <w:jc w:val="right"/>
            </w:pPr>
            <w:r>
              <w:t xml:space="preserve">0.3162334</w:t>
            </w:r>
          </w:p>
        </w:tc>
        <w:tc>
          <w:p>
            <w:pPr>
              <w:pStyle w:val="Compact"/>
              <w:jc w:val="right"/>
            </w:pPr>
            <w:r>
              <w:t xml:space="preserve">0.7519806</w:t>
            </w:r>
          </w:p>
        </w:tc>
      </w:tr>
      <w:tr>
        <w:tc>
          <w:p>
            <w:pPr>
              <w:pStyle w:val="Compact"/>
              <w:jc w:val="left"/>
            </w:pPr>
            <w:r>
              <w:t xml:space="preserve">HabitatMaritime Forest</w:t>
            </w:r>
          </w:p>
        </w:tc>
        <w:tc>
          <w:p>
            <w:pPr>
              <w:pStyle w:val="Compact"/>
              <w:jc w:val="right"/>
            </w:pPr>
            <w:r>
              <w:t xml:space="preserve">0.0014543</w:t>
            </w:r>
          </w:p>
        </w:tc>
        <w:tc>
          <w:p>
            <w:pPr>
              <w:pStyle w:val="Compact"/>
              <w:jc w:val="right"/>
            </w:pPr>
            <w:r>
              <w:t xml:space="preserve">0.0646346</w:t>
            </w:r>
          </w:p>
        </w:tc>
        <w:tc>
          <w:p>
            <w:pPr>
              <w:pStyle w:val="Compact"/>
              <w:jc w:val="right"/>
            </w:pPr>
            <w:r>
              <w:t xml:space="preserve">0.0224997</w:t>
            </w:r>
          </w:p>
        </w:tc>
        <w:tc>
          <w:p>
            <w:pPr>
              <w:pStyle w:val="Compact"/>
              <w:jc w:val="right"/>
            </w:pPr>
            <w:r>
              <w:t xml:space="preserve">0.9820599</w:t>
            </w:r>
          </w:p>
        </w:tc>
      </w:tr>
      <w:tr>
        <w:tc>
          <w:p>
            <w:pPr>
              <w:pStyle w:val="Compact"/>
              <w:jc w:val="left"/>
            </w:pPr>
            <w:r>
              <w:t xml:space="preserve">HabitatPine</w:t>
            </w:r>
          </w:p>
        </w:tc>
        <w:tc>
          <w:p>
            <w:pPr>
              <w:pStyle w:val="Compact"/>
              <w:jc w:val="right"/>
            </w:pPr>
            <w:r>
              <w:t xml:space="preserve">-0.0689270</w:t>
            </w:r>
          </w:p>
        </w:tc>
        <w:tc>
          <w:p>
            <w:pPr>
              <w:pStyle w:val="Compact"/>
              <w:jc w:val="right"/>
            </w:pPr>
            <w:r>
              <w:t xml:space="preserve">0.0505981</w:t>
            </w:r>
          </w:p>
        </w:tc>
        <w:tc>
          <w:p>
            <w:pPr>
              <w:pStyle w:val="Compact"/>
              <w:jc w:val="right"/>
            </w:pPr>
            <w:r>
              <w:t xml:space="preserve">-1.3622456</w:t>
            </w:r>
          </w:p>
        </w:tc>
        <w:tc>
          <w:p>
            <w:pPr>
              <w:pStyle w:val="Compact"/>
              <w:jc w:val="right"/>
            </w:pPr>
            <w:r>
              <w:t xml:space="preserve">0.1738419</w:t>
            </w:r>
          </w:p>
        </w:tc>
      </w:tr>
      <w:tr>
        <w:tc>
          <w:p>
            <w:pPr>
              <w:pStyle w:val="Compact"/>
              <w:jc w:val="left"/>
            </w:pPr>
            <w:r>
              <w:t xml:space="preserve">HabitatUpland</w:t>
            </w:r>
          </w:p>
        </w:tc>
        <w:tc>
          <w:p>
            <w:pPr>
              <w:pStyle w:val="Compact"/>
              <w:jc w:val="right"/>
            </w:pPr>
            <w:r>
              <w:t xml:space="preserve">-0.1241218</w:t>
            </w:r>
          </w:p>
        </w:tc>
        <w:tc>
          <w:p>
            <w:pPr>
              <w:pStyle w:val="Compact"/>
              <w:jc w:val="right"/>
            </w:pPr>
            <w:r>
              <w:t xml:space="preserve">0.0428822</w:t>
            </w:r>
          </w:p>
        </w:tc>
        <w:tc>
          <w:p>
            <w:pPr>
              <w:pStyle w:val="Compact"/>
              <w:jc w:val="right"/>
            </w:pPr>
            <w:r>
              <w:t xml:space="preserve">-2.8944840</w:t>
            </w:r>
          </w:p>
        </w:tc>
        <w:tc>
          <w:p>
            <w:pPr>
              <w:pStyle w:val="Compact"/>
              <w:jc w:val="right"/>
            </w:pPr>
            <w:r>
              <w:t xml:space="preserve">0.0039935</w:t>
            </w:r>
          </w:p>
        </w:tc>
      </w:tr>
    </w:tbl>
    <w:p>
      <w:pPr>
        <w:pStyle w:val="SourceCode"/>
      </w:pPr>
      <w:r>
        <w:rPr>
          <w:rStyle w:val="KeywordTok"/>
        </w:rPr>
        <w:t xml:space="preserve">kable</w:t>
      </w:r>
      <w:r>
        <w:rPr>
          <w:rStyle w:val="NormalTok"/>
        </w:rPr>
        <w:t xml:space="preserve">(lmtablePathSea, </w:t>
      </w:r>
      <w:r>
        <w:rPr>
          <w:rStyle w:val="DataTypeTok"/>
        </w:rPr>
        <w:t xml:space="preserve">caption =</w:t>
      </w:r>
      <w:r>
        <w:rPr>
          <w:rStyle w:val="NormalTok"/>
        </w:rPr>
        <w:t xml:space="preserve"> </w:t>
      </w:r>
      <w:r>
        <w:rPr>
          <w:rStyle w:val="StringTok"/>
        </w:rPr>
        <w:t xml:space="preserve">"Table 1. How the different season are related to total pathogen"</w:t>
      </w:r>
      <w:r>
        <w:rPr>
          <w:rStyle w:val="NormalTok"/>
        </w:rPr>
        <w:t xml:space="preserve">)</w:t>
      </w:r>
    </w:p>
    <w:p>
      <w:pPr>
        <w:pStyle w:val="TableCaption"/>
      </w:pPr>
      <w:r>
        <w:t xml:space="preserve">Table 1: Table 1. How the different season are related to total pathogen</w:t>
      </w:r>
    </w:p>
    <w:tbl>
      <w:tblPr>
        <w:tblStyle w:val="Table"/>
        <w:tblW w:type="pct" w:w="0.0"/>
        <w:tblLook w:firstRow="1"/>
        <w:tblCaption w:val="Table 1: Table 1. How the different season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0.0476190</w:t>
            </w:r>
          </w:p>
        </w:tc>
        <w:tc>
          <w:p>
            <w:pPr>
              <w:pStyle w:val="Compact"/>
              <w:jc w:val="right"/>
            </w:pPr>
            <w:r>
              <w:t xml:space="preserve">0.0744393</w:t>
            </w:r>
          </w:p>
        </w:tc>
        <w:tc>
          <w:p>
            <w:pPr>
              <w:pStyle w:val="Compact"/>
              <w:jc w:val="right"/>
            </w:pPr>
            <w:r>
              <w:t xml:space="preserve">0.6397026</w:t>
            </w:r>
          </w:p>
        </w:tc>
        <w:tc>
          <w:p>
            <w:pPr>
              <w:pStyle w:val="Compact"/>
              <w:jc w:val="right"/>
            </w:pPr>
            <w:r>
              <w:t xml:space="preserve">0.5227098</w:t>
            </w:r>
          </w:p>
        </w:tc>
      </w:tr>
      <w:tr>
        <w:tc>
          <w:p>
            <w:pPr>
              <w:pStyle w:val="Compact"/>
              <w:jc w:val="left"/>
            </w:pPr>
            <w:r>
              <w:t xml:space="preserve">SeasonSummer</w:t>
            </w:r>
          </w:p>
        </w:tc>
        <w:tc>
          <w:p>
            <w:pPr>
              <w:pStyle w:val="Compact"/>
              <w:jc w:val="right"/>
            </w:pPr>
            <w:r>
              <w:t xml:space="preserve">0.2857143</w:t>
            </w:r>
          </w:p>
        </w:tc>
        <w:tc>
          <w:p>
            <w:pPr>
              <w:pStyle w:val="Compact"/>
              <w:jc w:val="right"/>
            </w:pPr>
            <w:r>
              <w:t xml:space="preserve">0.1579097</w:t>
            </w:r>
          </w:p>
        </w:tc>
        <w:tc>
          <w:p>
            <w:pPr>
              <w:pStyle w:val="Compact"/>
              <w:jc w:val="right"/>
            </w:pPr>
            <w:r>
              <w:t xml:space="preserve">1.8093523</w:t>
            </w:r>
          </w:p>
        </w:tc>
        <w:tc>
          <w:p>
            <w:pPr>
              <w:pStyle w:val="Compact"/>
              <w:jc w:val="right"/>
            </w:pPr>
            <w:r>
              <w:t xml:space="preserve">0.0711010</w:t>
            </w:r>
          </w:p>
        </w:tc>
      </w:tr>
      <w:tr>
        <w:tc>
          <w:p>
            <w:pPr>
              <w:pStyle w:val="Compact"/>
              <w:jc w:val="left"/>
            </w:pPr>
            <w:r>
              <w:t xml:space="preserve">SeasonFall</w:t>
            </w:r>
          </w:p>
        </w:tc>
        <w:tc>
          <w:p>
            <w:pPr>
              <w:pStyle w:val="Compact"/>
              <w:jc w:val="right"/>
            </w:pPr>
            <w:r>
              <w:t xml:space="preserve">0.0773810</w:t>
            </w:r>
          </w:p>
        </w:tc>
        <w:tc>
          <w:p>
            <w:pPr>
              <w:pStyle w:val="Compact"/>
              <w:jc w:val="right"/>
            </w:pPr>
            <w:r>
              <w:t xml:space="preserve">0.0791739</w:t>
            </w:r>
          </w:p>
        </w:tc>
        <w:tc>
          <w:p>
            <w:pPr>
              <w:pStyle w:val="Compact"/>
              <w:jc w:val="right"/>
            </w:pPr>
            <w:r>
              <w:t xml:space="preserve">0.9773547</w:t>
            </w:r>
          </w:p>
        </w:tc>
        <w:tc>
          <w:p>
            <w:pPr>
              <w:pStyle w:val="Compact"/>
              <w:jc w:val="right"/>
            </w:pPr>
            <w:r>
              <w:t xml:space="preserve">0.3289483</w:t>
            </w:r>
          </w:p>
        </w:tc>
      </w:tr>
      <w:tr>
        <w:tc>
          <w:p>
            <w:pPr>
              <w:pStyle w:val="Compact"/>
              <w:jc w:val="left"/>
            </w:pPr>
            <w:r>
              <w:t xml:space="preserve">SeasonWinter</w:t>
            </w:r>
          </w:p>
        </w:tc>
        <w:tc>
          <w:p>
            <w:pPr>
              <w:pStyle w:val="Compact"/>
              <w:jc w:val="right"/>
            </w:pPr>
            <w:r>
              <w:t xml:space="preserve">0.0840682</w:t>
            </w:r>
          </w:p>
        </w:tc>
        <w:tc>
          <w:p>
            <w:pPr>
              <w:pStyle w:val="Compact"/>
              <w:jc w:val="right"/>
            </w:pPr>
            <w:r>
              <w:t xml:space="preserve">0.0775892</w:t>
            </w:r>
          </w:p>
        </w:tc>
        <w:tc>
          <w:p>
            <w:pPr>
              <w:pStyle w:val="Compact"/>
              <w:jc w:val="right"/>
            </w:pPr>
            <w:r>
              <w:t xml:space="preserve">1.0835036</w:t>
            </w:r>
          </w:p>
        </w:tc>
        <w:tc>
          <w:p>
            <w:pPr>
              <w:pStyle w:val="Compact"/>
              <w:jc w:val="right"/>
            </w:pPr>
            <w:r>
              <w:t xml:space="preserve">0.2791978</w:t>
            </w:r>
          </w:p>
        </w:tc>
      </w:tr>
    </w:tbl>
    <w:p>
      <w:pPr>
        <w:pStyle w:val="SourceCode"/>
      </w:pPr>
      <w:r>
        <w:rPr>
          <w:rStyle w:val="KeywordTok"/>
        </w:rPr>
        <w:t xml:space="preserve">kable</w:t>
      </w:r>
      <w:r>
        <w:rPr>
          <w:rStyle w:val="NormalTok"/>
        </w:rPr>
        <w:t xml:space="preserve">(lmtablePathSpe, </w:t>
      </w:r>
      <w:r>
        <w:rPr>
          <w:rStyle w:val="DataTypeTok"/>
        </w:rPr>
        <w:t xml:space="preserve">caption =</w:t>
      </w:r>
      <w:r>
        <w:rPr>
          <w:rStyle w:val="NormalTok"/>
        </w:rPr>
        <w:t xml:space="preserve"> </w:t>
      </w:r>
      <w:r>
        <w:rPr>
          <w:rStyle w:val="StringTok"/>
        </w:rPr>
        <w:t xml:space="preserve">"Table 1. How the different species are related to total pathogen"</w:t>
      </w:r>
      <w:r>
        <w:rPr>
          <w:rStyle w:val="NormalTok"/>
        </w:rPr>
        <w:t xml:space="preserve">)</w:t>
      </w:r>
    </w:p>
    <w:p>
      <w:pPr>
        <w:pStyle w:val="TableCaption"/>
      </w:pPr>
      <w:r>
        <w:t xml:space="preserve">Table 1: Table 1. How the different species are related to total pathogen</w:t>
      </w:r>
    </w:p>
    <w:tbl>
      <w:tblPr>
        <w:tblStyle w:val="Table"/>
        <w:tblW w:type="pct" w:w="0.0"/>
        <w:tblLook w:firstRow="1"/>
        <w:tblCaption w:val="Table 1: Table 1. How the different species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0.2612967</w:t>
            </w:r>
          </w:p>
        </w:tc>
        <w:tc>
          <w:p>
            <w:pPr>
              <w:pStyle w:val="Compact"/>
              <w:jc w:val="right"/>
            </w:pPr>
            <w:r>
              <w:t xml:space="preserve">0.0110295</w:t>
            </w:r>
          </w:p>
        </w:tc>
        <w:tc>
          <w:p>
            <w:pPr>
              <w:pStyle w:val="Compact"/>
              <w:jc w:val="right"/>
            </w:pPr>
            <w:r>
              <w:t xml:space="preserve">23.6906062</w:t>
            </w:r>
          </w:p>
        </w:tc>
        <w:tc>
          <w:p>
            <w:pPr>
              <w:pStyle w:val="Compact"/>
              <w:jc w:val="right"/>
            </w:pPr>
            <w:r>
              <w:t xml:space="preserve">0.0000000</w:t>
            </w:r>
          </w:p>
        </w:tc>
      </w:tr>
      <w:tr>
        <w:tc>
          <w:p>
            <w:pPr>
              <w:pStyle w:val="Compact"/>
              <w:jc w:val="left"/>
            </w:pPr>
            <w:r>
              <w:t xml:space="preserve">SpeciesAmblyomma maculatum</w:t>
            </w:r>
          </w:p>
        </w:tc>
        <w:tc>
          <w:p>
            <w:pPr>
              <w:pStyle w:val="Compact"/>
              <w:jc w:val="right"/>
            </w:pPr>
            <w:r>
              <w:t xml:space="preserve">0.7387033</w:t>
            </w:r>
          </w:p>
        </w:tc>
        <w:tc>
          <w:p>
            <w:pPr>
              <w:pStyle w:val="Compact"/>
              <w:jc w:val="right"/>
            </w:pPr>
            <w:r>
              <w:t xml:space="preserve">0.3049625</w:t>
            </w:r>
          </w:p>
        </w:tc>
        <w:tc>
          <w:p>
            <w:pPr>
              <w:pStyle w:val="Compact"/>
              <w:jc w:val="right"/>
            </w:pPr>
            <w:r>
              <w:t xml:space="preserve">2.4222760</w:t>
            </w:r>
          </w:p>
        </w:tc>
        <w:tc>
          <w:p>
            <w:pPr>
              <w:pStyle w:val="Compact"/>
              <w:jc w:val="right"/>
            </w:pPr>
            <w:r>
              <w:t xml:space="preserve">0.0155136</w:t>
            </w:r>
          </w:p>
        </w:tc>
      </w:tr>
      <w:tr>
        <w:tc>
          <w:p>
            <w:pPr>
              <w:pStyle w:val="Compact"/>
              <w:jc w:val="left"/>
            </w:pPr>
            <w:r>
              <w:t xml:space="preserve">SpeciesDermacentor variabilis</w:t>
            </w:r>
          </w:p>
        </w:tc>
        <w:tc>
          <w:p>
            <w:pPr>
              <w:pStyle w:val="Compact"/>
              <w:jc w:val="right"/>
            </w:pPr>
            <w:r>
              <w:t xml:space="preserve">0.7387033</w:t>
            </w:r>
          </w:p>
        </w:tc>
        <w:tc>
          <w:p>
            <w:pPr>
              <w:pStyle w:val="Compact"/>
              <w:jc w:val="right"/>
            </w:pPr>
            <w:r>
              <w:t xml:space="preserve">0.1440894</w:t>
            </w:r>
          </w:p>
        </w:tc>
        <w:tc>
          <w:p>
            <w:pPr>
              <w:pStyle w:val="Compact"/>
              <w:jc w:val="right"/>
            </w:pPr>
            <w:r>
              <w:t xml:space="preserve">5.1267014</w:t>
            </w:r>
          </w:p>
        </w:tc>
        <w:tc>
          <w:p>
            <w:pPr>
              <w:pStyle w:val="Compact"/>
              <w:jc w:val="right"/>
            </w:pPr>
            <w:r>
              <w:t xml:space="preserve">0.0000003</w:t>
            </w:r>
          </w:p>
        </w:tc>
      </w:tr>
      <w:tr>
        <w:tc>
          <w:p>
            <w:pPr>
              <w:pStyle w:val="Compact"/>
              <w:jc w:val="left"/>
            </w:pPr>
            <w:r>
              <w:t xml:space="preserve">SpeciesIxodes affinis</w:t>
            </w:r>
          </w:p>
        </w:tc>
        <w:tc>
          <w:p>
            <w:pPr>
              <w:pStyle w:val="Compact"/>
              <w:jc w:val="right"/>
            </w:pPr>
            <w:r>
              <w:t xml:space="preserve">-0.0737967</w:t>
            </w:r>
          </w:p>
        </w:tc>
        <w:tc>
          <w:p>
            <w:pPr>
              <w:pStyle w:val="Compact"/>
              <w:jc w:val="right"/>
            </w:pPr>
            <w:r>
              <w:t xml:space="preserve">0.1083130</w:t>
            </w:r>
          </w:p>
        </w:tc>
        <w:tc>
          <w:p>
            <w:pPr>
              <w:pStyle w:val="Compact"/>
              <w:jc w:val="right"/>
            </w:pPr>
            <w:r>
              <w:t xml:space="preserve">-0.6813277</w:t>
            </w:r>
          </w:p>
        </w:tc>
        <w:tc>
          <w:p>
            <w:pPr>
              <w:pStyle w:val="Compact"/>
              <w:jc w:val="right"/>
            </w:pPr>
            <w:r>
              <w:t xml:space="preserve">0.4957445</w:t>
            </w:r>
          </w:p>
        </w:tc>
      </w:tr>
      <w:tr>
        <w:tc>
          <w:p>
            <w:pPr>
              <w:pStyle w:val="Compact"/>
              <w:jc w:val="left"/>
            </w:pPr>
            <w:r>
              <w:t xml:space="preserve">SpeciesIxodes scapularis</w:t>
            </w:r>
          </w:p>
        </w:tc>
        <w:tc>
          <w:p>
            <w:pPr>
              <w:pStyle w:val="Compact"/>
              <w:jc w:val="right"/>
            </w:pPr>
            <w:r>
              <w:t xml:space="preserve">-0.1356928</w:t>
            </w:r>
          </w:p>
        </w:tc>
        <w:tc>
          <w:p>
            <w:pPr>
              <w:pStyle w:val="Compact"/>
              <w:jc w:val="right"/>
            </w:pPr>
            <w:r>
              <w:t xml:space="preserve">0.0238820</w:t>
            </w:r>
          </w:p>
        </w:tc>
        <w:tc>
          <w:p>
            <w:pPr>
              <w:pStyle w:val="Compact"/>
              <w:jc w:val="right"/>
            </w:pPr>
            <w:r>
              <w:t xml:space="preserve">-5.6818074</w:t>
            </w:r>
          </w:p>
        </w:tc>
        <w:tc>
          <w:p>
            <w:pPr>
              <w:pStyle w:val="Compact"/>
              <w:jc w:val="right"/>
            </w:pPr>
            <w:r>
              <w:t xml:space="preserve">0.0000000</w:t>
            </w:r>
          </w:p>
        </w:tc>
      </w:tr>
    </w:tbl>
    <w:p>
      <w:pPr>
        <w:pStyle w:val="SourceCode"/>
      </w:pPr>
      <w:r>
        <w:rPr>
          <w:rStyle w:val="KeywordTok"/>
        </w:rPr>
        <w:t xml:space="preserve">kable</w:t>
      </w:r>
      <w:r>
        <w:rPr>
          <w:rStyle w:val="NormalTok"/>
        </w:rPr>
        <w:t xml:space="preserve">(lmtableBor, </w:t>
      </w:r>
      <w:r>
        <w:rPr>
          <w:rStyle w:val="DataTypeTok"/>
        </w:rPr>
        <w:t xml:space="preserve">caption =</w:t>
      </w:r>
      <w:r>
        <w:rPr>
          <w:rStyle w:val="NormalTok"/>
        </w:rPr>
        <w:t xml:space="preserve"> </w:t>
      </w:r>
      <w:r>
        <w:rPr>
          <w:rStyle w:val="StringTok"/>
        </w:rPr>
        <w:t xml:space="preserve">"Table 1. How the different regions are related to Borrelia.spp in Ixodes scapularis"</w:t>
      </w:r>
      <w:r>
        <w:rPr>
          <w:rStyle w:val="NormalTok"/>
        </w:rPr>
        <w:t xml:space="preserve">)</w:t>
      </w:r>
    </w:p>
    <w:p>
      <w:pPr>
        <w:pStyle w:val="TableCaption"/>
      </w:pPr>
      <w:r>
        <w:t xml:space="preserve">Table 1: Table 1. How the different regions are related to Borrelia.spp in Ixodes scapularis</w:t>
      </w:r>
    </w:p>
    <w:tbl>
      <w:tblPr>
        <w:tblStyle w:val="Table"/>
        <w:tblW w:type="pct" w:w="0.0"/>
        <w:tblLook w:firstRow="1"/>
        <w:tblCaption w:val="Table 1: Table 1. How the different regions are related to Borrelia.spp in Ixodes scapulari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0.0232558</w:t>
            </w:r>
          </w:p>
        </w:tc>
        <w:tc>
          <w:p>
            <w:pPr>
              <w:pStyle w:val="Compact"/>
              <w:jc w:val="right"/>
            </w:pPr>
            <w:r>
              <w:t xml:space="preserve">0.0163290</w:t>
            </w:r>
          </w:p>
        </w:tc>
        <w:tc>
          <w:p>
            <w:pPr>
              <w:pStyle w:val="Compact"/>
              <w:jc w:val="right"/>
            </w:pPr>
            <w:r>
              <w:t xml:space="preserve">1.4242018</w:t>
            </w:r>
          </w:p>
        </w:tc>
        <w:tc>
          <w:p>
            <w:pPr>
              <w:pStyle w:val="Compact"/>
              <w:jc w:val="right"/>
            </w:pPr>
            <w:r>
              <w:t xml:space="preserve">0.1551543</w:t>
            </w:r>
          </w:p>
        </w:tc>
      </w:tr>
      <w:tr>
        <w:tc>
          <w:p>
            <w:pPr>
              <w:pStyle w:val="Compact"/>
              <w:jc w:val="left"/>
            </w:pPr>
            <w:r>
              <w:t xml:space="preserve">RegionPiedmont</w:t>
            </w:r>
          </w:p>
        </w:tc>
        <w:tc>
          <w:p>
            <w:pPr>
              <w:pStyle w:val="Compact"/>
              <w:jc w:val="right"/>
            </w:pPr>
            <w:r>
              <w:t xml:space="preserve">-0.0038383</w:t>
            </w:r>
          </w:p>
        </w:tc>
        <w:tc>
          <w:p>
            <w:pPr>
              <w:pStyle w:val="Compact"/>
              <w:jc w:val="right"/>
            </w:pPr>
            <w:r>
              <w:t xml:space="preserve">0.0208233</w:t>
            </w:r>
          </w:p>
        </w:tc>
        <w:tc>
          <w:p>
            <w:pPr>
              <w:pStyle w:val="Compact"/>
              <w:jc w:val="right"/>
            </w:pPr>
            <w:r>
              <w:t xml:space="preserve">-0.1843293</w:t>
            </w:r>
          </w:p>
        </w:tc>
        <w:tc>
          <w:p>
            <w:pPr>
              <w:pStyle w:val="Compact"/>
              <w:jc w:val="right"/>
            </w:pPr>
            <w:r>
              <w:t xml:space="preserve">0.8538469</w:t>
            </w:r>
          </w:p>
        </w:tc>
      </w:tr>
      <w:tr>
        <w:tc>
          <w:p>
            <w:pPr>
              <w:pStyle w:val="Compact"/>
              <w:jc w:val="left"/>
            </w:pPr>
            <w:r>
              <w:t xml:space="preserve">RegionUpper Coastal</w:t>
            </w:r>
          </w:p>
        </w:tc>
        <w:tc>
          <w:p>
            <w:pPr>
              <w:pStyle w:val="Compact"/>
              <w:jc w:val="right"/>
            </w:pPr>
            <w:r>
              <w:t xml:space="preserve">0.0834109</w:t>
            </w:r>
          </w:p>
        </w:tc>
        <w:tc>
          <w:p>
            <w:pPr>
              <w:pStyle w:val="Compact"/>
              <w:jc w:val="right"/>
            </w:pPr>
            <w:r>
              <w:t xml:space="preserve">0.0269305</w:t>
            </w:r>
          </w:p>
        </w:tc>
        <w:tc>
          <w:p>
            <w:pPr>
              <w:pStyle w:val="Compact"/>
              <w:jc w:val="right"/>
            </w:pPr>
            <w:r>
              <w:t xml:space="preserve">3.0972631</w:t>
            </w:r>
          </w:p>
        </w:tc>
        <w:tc>
          <w:p>
            <w:pPr>
              <w:pStyle w:val="Compact"/>
              <w:jc w:val="right"/>
            </w:pPr>
            <w:r>
              <w:t xml:space="preserve">0.0020885</w:t>
            </w:r>
          </w:p>
        </w:tc>
      </w:tr>
    </w:tbl>
    <w:p>
      <w:pPr>
        <w:pStyle w:val="Heading2"/>
      </w:pPr>
      <w:bookmarkStart w:id="36" w:name="full-analysis"/>
      <w:r>
        <w:t xml:space="preserve">Full analysis</w:t>
      </w:r>
      <w:bookmarkEnd w:id="36"/>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When seeing which variables influence total pathogen’s in an individual we get a decision tree that covers a few of the main key indicators in an environment (figure 3). This tree is showing that tick density in a region is the largest predictor and then is further defined by species, season, and habitat. All of which make biological sense.</w:t>
      </w:r>
    </w:p>
    <w:p>
      <w:pPr>
        <w:pStyle w:val="CaptionedFigure"/>
      </w:pPr>
      <w:r>
        <w:drawing>
          <wp:inline>
            <wp:extent cx="5334000" cy="5334000"/>
            <wp:effectExtent b="0" l="0" r="0" t="0"/>
            <wp:docPr descr="Figure 4. Decision Tree for Predictors of Total Pathogen" title="" id="1" name="Picture"/>
            <a:graphic>
              <a:graphicData uri="http://schemas.openxmlformats.org/drawingml/2006/picture">
                <pic:pic>
                  <pic:nvPicPr>
                    <pic:cNvPr descr="../../results/rparttreeFull.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Decision Tree for Predictors of Total Pathogen</w:t>
      </w:r>
    </w:p>
    <w:p>
      <w:pPr>
        <w:pStyle w:val="CaptionedFigure"/>
      </w:pPr>
      <w:r>
        <w:drawing>
          <wp:inline>
            <wp:extent cx="5334000" cy="5334000"/>
            <wp:effectExtent b="0" l="0" r="0" t="0"/>
            <wp:docPr descr="Figure 5. Decision Tree for Predictors of Borrelia.spp in Ixodes scapularis" title="" id="1" name="Picture"/>
            <a:graphic>
              <a:graphicData uri="http://schemas.openxmlformats.org/drawingml/2006/picture">
                <pic:pic>
                  <pic:nvPicPr>
                    <pic:cNvPr descr="../../results/rparttreeBorrelia.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Decision Tree for Predictors of Borrelia.spp in Ixodes scapularis</w:t>
      </w:r>
    </w:p>
    <w:p>
      <w:pPr>
        <w:pStyle w:val="Heading1"/>
      </w:pPr>
      <w:bookmarkStart w:id="39" w:name="discussion"/>
      <w:r>
        <w:t xml:space="preserve">Discussion</w:t>
      </w:r>
      <w:bookmarkEnd w:id="39"/>
    </w:p>
    <w:p>
      <w:pPr>
        <w:pStyle w:val="Heading2"/>
      </w:pPr>
      <w:bookmarkStart w:id="40" w:name="summary-and-interpretation"/>
      <w:r>
        <w:t xml:space="preserve">Summary and Interpretation</w:t>
      </w:r>
      <w:bookmarkEnd w:id="40"/>
    </w:p>
    <w:p>
      <w:pPr>
        <w:pStyle w:val="FirstParagraph"/>
      </w:pPr>
      <w:r>
        <w:rPr>
          <w:i/>
        </w:rPr>
        <w:t xml:space="preserve">Summarize what you did, what you found and what it means.</w:t>
      </w:r>
    </w:p>
    <w:p>
      <w:pPr>
        <w:pStyle w:val="Heading2"/>
      </w:pPr>
      <w:bookmarkStart w:id="41" w:name="strengths-and-limitations"/>
      <w:r>
        <w:t xml:space="preserve">Strengths and Limitations</w:t>
      </w:r>
      <w:bookmarkEnd w:id="41"/>
    </w:p>
    <w:p>
      <w:pPr>
        <w:pStyle w:val="FirstParagraph"/>
      </w:pPr>
      <w:r>
        <w:rPr>
          <w:i/>
        </w:rPr>
        <w:t xml:space="preserve">Discuss what you perceive as strengths and limitations of your analysis.</w:t>
      </w:r>
    </w:p>
    <w:p>
      <w:pPr>
        <w:pStyle w:val="Heading2"/>
      </w:pPr>
      <w:bookmarkStart w:id="42" w:name="conclusions"/>
      <w:r>
        <w:t xml:space="preserve">Conclusions</w:t>
      </w:r>
      <w:bookmarkEnd w:id="42"/>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3" w:name="references"/>
      <w:r>
        <w:t xml:space="preserve">References</w:t>
      </w:r>
      <w:bookmarkEnd w:id="43"/>
    </w:p>
    <w:bookmarkStart w:id="58" w:name="refs"/>
    <w:bookmarkStart w:id="45"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44">
        <w:r>
          <w:rPr>
            <w:rStyle w:val="Hyperlink"/>
          </w:rPr>
          <w:t xml:space="preserve">https://doi.org/10.1128/JCM.42.6.2799-2801.2004</w:t>
        </w:r>
      </w:hyperlink>
    </w:p>
    <w:bookmarkEnd w:id="45"/>
    <w:bookmarkStart w:id="47"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6">
        <w:r>
          <w:rPr>
            <w:rStyle w:val="Hyperlink"/>
          </w:rPr>
          <w:t xml:space="preserve">https://doi.org/10.1371/journal.pone.0127450</w:t>
        </w:r>
      </w:hyperlink>
    </w:p>
    <w:bookmarkEnd w:id="47"/>
    <w:bookmarkStart w:id="49"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8">
        <w:r>
          <w:rPr>
            <w:rStyle w:val="Hyperlink"/>
          </w:rPr>
          <w:t xml:space="preserve">https://doi.org/10.1016/j.pt.2012.07.003</w:t>
        </w:r>
      </w:hyperlink>
    </w:p>
    <w:bookmarkEnd w:id="49"/>
    <w:bookmarkStart w:id="51"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50">
        <w:r>
          <w:rPr>
            <w:rStyle w:val="Hyperlink"/>
          </w:rPr>
          <w:t xml:space="preserve">https://doi.org/10.1016/j.pt.2017.12.006</w:t>
        </w:r>
      </w:hyperlink>
    </w:p>
    <w:bookmarkEnd w:id="51"/>
    <w:bookmarkStart w:id="53"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52">
        <w:r>
          <w:rPr>
            <w:rStyle w:val="Hyperlink"/>
          </w:rPr>
          <w:t xml:space="preserve">https://doi.org/10.1371/journal.pone.0168723</w:t>
        </w:r>
      </w:hyperlink>
    </w:p>
    <w:bookmarkEnd w:id="53"/>
    <w:bookmarkStart w:id="55"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54">
        <w:r>
          <w:rPr>
            <w:rStyle w:val="Hyperlink"/>
          </w:rPr>
          <w:t xml:space="preserve">https://www.ncbi.nlm.nih.gov/pubmed/15938502</w:t>
        </w:r>
      </w:hyperlink>
    </w:p>
    <w:bookmarkEnd w:id="55"/>
    <w:bookmarkStart w:id="57" w:name="ref-CDC"/>
    <w:p>
      <w:pPr>
        <w:pStyle w:val="Bibliography"/>
      </w:pPr>
      <w:r>
        <w:t xml:space="preserve">Vector-Borne Disease, D. of. (2019). [Web Page]. Retrieved from</w:t>
      </w:r>
      <w:r>
        <w:t xml:space="preserve"> </w:t>
      </w:r>
      <w:hyperlink r:id="rId56">
        <w:r>
          <w:rPr>
            <w:rStyle w:val="Hyperlink"/>
          </w:rPr>
          <w:t xml:space="preserve">https://www.cdc.gov/lyme/datasurveillance/index.html</w:t>
        </w:r>
      </w:hyperlink>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8" Target="https://doi.org/10.1016/j.pt.2012.07.003" TargetMode="External" /><Relationship Type="http://schemas.openxmlformats.org/officeDocument/2006/relationships/hyperlink" Id="rId50" Target="https://doi.org/10.1016/j.pt.2017.12.006" TargetMode="External" /><Relationship Type="http://schemas.openxmlformats.org/officeDocument/2006/relationships/hyperlink" Id="rId44" Target="https://doi.org/10.1128/JCM.42.6.2799-2801.2004" TargetMode="External" /><Relationship Type="http://schemas.openxmlformats.org/officeDocument/2006/relationships/hyperlink" Id="rId46" Target="https://doi.org/10.1371/journal.pone.0127450" TargetMode="External" /><Relationship Type="http://schemas.openxmlformats.org/officeDocument/2006/relationships/hyperlink" Id="rId52" Target="https://doi.org/10.1371/journal.pone.0168723" TargetMode="External" /><Relationship Type="http://schemas.openxmlformats.org/officeDocument/2006/relationships/hyperlink" Id="rId56" Target="https://www.cdc.gov/lyme/datasurveillance/index.html" TargetMode="External" /><Relationship Type="http://schemas.openxmlformats.org/officeDocument/2006/relationships/hyperlink" Id="rId54" Target="https://www.ncbi.nlm.nih.gov/pubmed/15938502" TargetMode="External" /><Relationship Type="http://schemas.openxmlformats.org/officeDocument/2006/relationships/hyperlink" Id="rId2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16/j.pt.2012.07.003" TargetMode="External" /><Relationship Type="http://schemas.openxmlformats.org/officeDocument/2006/relationships/hyperlink" Id="rId50" Target="https://doi.org/10.1016/j.pt.2017.12.006" TargetMode="External" /><Relationship Type="http://schemas.openxmlformats.org/officeDocument/2006/relationships/hyperlink" Id="rId44" Target="https://doi.org/10.1128/JCM.42.6.2799-2801.2004" TargetMode="External" /><Relationship Type="http://schemas.openxmlformats.org/officeDocument/2006/relationships/hyperlink" Id="rId46" Target="https://doi.org/10.1371/journal.pone.0127450" TargetMode="External" /><Relationship Type="http://schemas.openxmlformats.org/officeDocument/2006/relationships/hyperlink" Id="rId52" Target="https://doi.org/10.1371/journal.pone.0168723" TargetMode="External" /><Relationship Type="http://schemas.openxmlformats.org/officeDocument/2006/relationships/hyperlink" Id="rId56" Target="https://www.cdc.gov/lyme/datasurveillance/index.html" TargetMode="External" /><Relationship Type="http://schemas.openxmlformats.org/officeDocument/2006/relationships/hyperlink" Id="rId54" Target="https://www.ncbi.nlm.nih.gov/pubmed/15938502" TargetMode="External" /><Relationship Type="http://schemas.openxmlformats.org/officeDocument/2006/relationships/hyperlink" Id="rId2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Tickborne Disease Prevalence and the Effects Habitat and the Microbial Community Play</dc:title>
  <dc:creator>Julia Frederick</dc:creator>
  <cp:keywords/>
  <dcterms:created xsi:type="dcterms:W3CDTF">2019-11-13T19:10:00Z</dcterms:created>
  <dcterms:modified xsi:type="dcterms:W3CDTF">2019-11-13T19:10:00Z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2019-11-13</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