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200"/>
        <w:jc w:val="center"/>
      </w:pPr>
      <w:r>
        <w:rPr>
          <w:rFonts w:ascii="Arial" w:cs="Arial" w:eastAsia="Arial" w:hAnsi="Arial"/>
          <w:color w:val="2E8B8B"/>
          <w:sz w:val="32"/>
          <w:szCs w:val="32"/>
        </w:rPr>
        <w:t xml:space="preserve">Shape the Wave Longevity Centers</w:t>
      </w:r>
    </w:p>
    <w:p>
      <w:pPr>
        <w:spacing w:after="400"/>
        <w:jc w:val="center"/>
      </w:pPr>
      <w:r>
        <w:rPr>
          <w:rFonts w:ascii="Arial" w:cs="Arial" w:eastAsia="Arial" w:hAnsi="Arial"/>
          <w:b/>
          <w:bCs/>
          <w:color w:val="1B3A5C"/>
          <w:sz w:val="56"/>
          <w:szCs w:val="56"/>
        </w:rPr>
        <w:t xml:space="preserve">Zenoti Vendor Management Cheat Sheet</w:t>
      </w:r>
    </w:p>
    <w:p>
      <w:pPr>
        <w:spacing w:after="800"/>
        <w:jc w:val="center"/>
      </w:pPr>
      <w:r>
        <w:rPr>
          <w:rFonts w:ascii="Arial" w:cs="Arial" w:eastAsia="Arial" w:hAnsi="Arial"/>
          <w:i/>
          <w:iCs/>
          <w:color w:val="2C2C2C"/>
          <w:sz w:val="26"/>
          <w:szCs w:val="26"/>
        </w:rPr>
        <w:t xml:space="preserve">Renewal Dates, Leverage Windows, Escalation Paths, Negotiation Framework</w:t>
      </w:r>
    </w:p>
    <w:p>
      <w:pPr>
        <w:spacing w:after="2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2E8B8B" w:val="clear"/>
            <w:tcMar>
              <w:top w:type="dxa" w:w="200"/>
              <w:left w:type="dxa" w:w="200"/>
              <w:bottom w:type="dxa" w:w="200"/>
              <w:right w:type="dxa" w:w="200"/>
            </w:tcMar>
          </w:tcPr>
          <w:p>
            <w:pPr>
              <w:jc w:val="center"/>
            </w:pPr>
            <w:r>
              <w:rPr>
                <w:rFonts w:ascii="Arial" w:cs="Arial" w:eastAsia="Arial" w:hAnsi="Arial"/>
                <w:b/>
                <w:bCs/>
                <w:color w:val="FFFFFF"/>
                <w:sz w:val="24"/>
                <w:szCs w:val="24"/>
              </w:rPr>
              <w:t xml:space="preserve">One-page reference for every Zenoti conversation. Keep this near your inbox. Update annually after each renewal cycle.</w:t>
            </w:r>
          </w:p>
        </w:tc>
      </w:tr>
    </w:tbl>
    <w:p>
      <w:pPr>
        <w:spacing w:after="800"/>
      </w:pPr>
      <w:r>
        <w:t xml:space="preserve"/>
      </w:r>
    </w:p>
    <w:p>
      <w:pPr>
        <w:spacing w:after="100"/>
        <w:jc w:val="center"/>
      </w:pPr>
      <w:r>
        <w:rPr>
          <w:rFonts w:ascii="Arial" w:cs="Arial" w:eastAsia="Arial" w:hAnsi="Arial"/>
          <w:color w:val="2C2C2C"/>
          <w:sz w:val="22"/>
          <w:szCs w:val="22"/>
        </w:rPr>
        <w:t xml:space="preserve">Prepared for Julia Tack, Clinical Director &amp; COO</w:t>
      </w:r>
    </w:p>
    <w:p>
      <w:r>
        <w:br w:type="page"/>
      </w:r>
    </w:p>
    <w:p>
      <w:pPr>
        <w:pStyle w:val="Heading1"/>
        <w:spacing w:after="200" w:before="400"/>
      </w:pPr>
      <w:r>
        <w:rPr>
          <w:rFonts w:ascii="Arial" w:cs="Arial" w:eastAsia="Arial" w:hAnsi="Arial"/>
          <w:b/>
          <w:bCs/>
          <w:color w:val="1B3A5C"/>
          <w:sz w:val="36"/>
          <w:szCs w:val="36"/>
        </w:rPr>
        <w:t xml:space="preserve">1. Key Dates and Contacts</w:t>
      </w:r>
    </w:p>
    <w:p>
      <w:pPr>
        <w:pStyle w:val="Heading2"/>
        <w:spacing w:after="160" w:before="320"/>
      </w:pPr>
      <w:r>
        <w:rPr>
          <w:rFonts w:ascii="Arial" w:cs="Arial" w:eastAsia="Arial" w:hAnsi="Arial"/>
          <w:b/>
          <w:bCs/>
          <w:color w:val="1B3A5C"/>
          <w:sz w:val="28"/>
          <w:szCs w:val="28"/>
        </w:rPr>
        <w:t xml:space="preserve">Critical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Event</w:t>
            </w:r>
          </w:p>
        </w:tc>
        <w:tc>
          <w:tcPr>
            <w:tcW w:type="dxa" w:w="24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Date</w:t>
            </w:r>
          </w:p>
        </w:tc>
        <w:tc>
          <w:tcPr>
            <w:tcW w:type="dxa" w:w="456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Action Required</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Initial contract signed</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March 27, 2025</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12-month initial term</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Initial term ended</w:t>
            </w:r>
          </w:p>
        </w:tc>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March 27, 2026</w:t>
            </w:r>
          </w:p>
        </w:tc>
        <w:tc>
          <w:tcPr>
            <w:tcW w:type="dxa" w:w="45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Auto-renewed for 12 months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Current renewal year ends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March 27, 2027</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Decision point: renew, renegotiate, or leave</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Non-renewal notice deadline</w:t>
            </w:r>
          </w:p>
        </w:tc>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January 27, 2027</w:t>
            </w:r>
          </w:p>
        </w:tc>
        <w:tc>
          <w:tcPr>
            <w:tcW w:type="dxa" w:w="45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MUST give 60 days written notice if leaving</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Renewal evaluation window opens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December 27, 2026</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Start vendor review 90 days prior to renewal</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Annual fee increase notice window</w:t>
            </w:r>
          </w:p>
        </w:tc>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January 26, 2027 or earlier</w:t>
            </w:r>
          </w:p>
        </w:tc>
        <w:tc>
          <w:tcPr>
            <w:tcW w:type="dxa" w:w="45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Zenoti must give 60 days notice; up to 20% increase allowed</w:t>
            </w:r>
          </w:p>
        </w:tc>
      </w:tr>
    </w:tbl>
    <w:p>
      <w:pPr>
        <w:pStyle w:val="Heading2"/>
        <w:spacing w:after="160" w:before="320"/>
      </w:pPr>
      <w:r>
        <w:rPr>
          <w:rFonts w:ascii="Arial" w:cs="Arial" w:eastAsia="Arial" w:hAnsi="Arial"/>
          <w:b/>
          <w:bCs/>
          <w:color w:val="1B3A5C"/>
          <w:sz w:val="28"/>
          <w:szCs w:val="28"/>
        </w:rPr>
        <w:t xml:space="preserve">Key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Contact</w:t>
            </w:r>
          </w:p>
        </w:tc>
        <w:tc>
          <w:tcPr>
            <w:tcW w:type="dxa" w:w="24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Role</w:t>
            </w:r>
          </w:p>
        </w:tc>
        <w:tc>
          <w:tcPr>
            <w:tcW w:type="dxa" w:w="24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How to Reach</w:t>
            </w:r>
          </w:p>
        </w:tc>
        <w:tc>
          <w:tcPr>
            <w:tcW w:type="dxa" w:w="236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Use For</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Jessica Bader</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Senior Account Executive</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jessicab@zenoti.com</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Sales/account expansion</w:t>
            </w:r>
          </w:p>
        </w:tc>
      </w:tr>
      <w:tr>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Standard Support</w:t>
            </w:r>
          </w:p>
        </w:tc>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Ticket queue</w:t>
            </w:r>
          </w:p>
        </w:tc>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Via Zenoti portal</w:t>
            </w:r>
          </w:p>
        </w:tc>
        <w:tc>
          <w:tcPr>
            <w:tcW w:type="dxa" w:w="2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Operational issues post-go-live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Legal Department</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For BAA, contract issues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legal@zenoti.com</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Compliance, breach notification</w:t>
            </w:r>
          </w:p>
        </w:tc>
      </w:tr>
      <w:tr>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Professional Services</w:t>
            </w:r>
          </w:p>
        </w:tc>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Implementation team</w:t>
            </w:r>
          </w:p>
        </w:tc>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Via Jessica</w:t>
            </w:r>
          </w:p>
        </w:tc>
        <w:tc>
          <w:tcPr>
            <w:tcW w:type="dxa" w:w="2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Configuration and migration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Escalation: Jessica's Manager</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Unknown — request when needed</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Ask Jessica directly</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If Jessica becomes unresponsive</w:t>
            </w:r>
          </w:p>
        </w:tc>
      </w:tr>
    </w:tbl>
    <w:p>
      <w:pPr>
        <w:pStyle w:val="Heading2"/>
        <w:spacing w:after="160" w:before="320"/>
      </w:pPr>
      <w:r>
        <w:rPr>
          <w:rFonts w:ascii="Arial" w:cs="Arial" w:eastAsia="Arial" w:hAnsi="Arial"/>
          <w:b/>
          <w:bCs/>
          <w:color w:val="1B3A5C"/>
          <w:sz w:val="28"/>
          <w:szCs w:val="28"/>
        </w:rPr>
        <w:t xml:space="preserve">Where to Find Things</w:t>
      </w:r>
    </w:p>
    <w:p>
      <w:pPr>
        <w:pStyle w:val="ListParagraph"/>
        <w:numPr>
          <w:ilvl w:val="0"/>
          <w:numId w:val="2"/>
        </w:numPr>
        <w:spacing w:after="80" w:line="280"/>
      </w:pPr>
      <w:r>
        <w:rPr>
          <w:rFonts w:ascii="Arial" w:cs="Arial" w:eastAsia="Arial" w:hAnsi="Arial"/>
          <w:color w:val="2C2C2C"/>
          <w:sz w:val="22"/>
          <w:szCs w:val="22"/>
        </w:rPr>
        <w:t xml:space="preserve">Zenoti Order Form: filed with CIMPC contracts (signed March 27, 2025)</w:t>
      </w:r>
    </w:p>
    <w:p>
      <w:pPr>
        <w:pStyle w:val="ListParagraph"/>
        <w:numPr>
          <w:ilvl w:val="0"/>
          <w:numId w:val="2"/>
        </w:numPr>
        <w:spacing w:after="80" w:line="280"/>
      </w:pPr>
      <w:r>
        <w:rPr>
          <w:rFonts w:ascii="Arial" w:cs="Arial" w:eastAsia="Arial" w:hAnsi="Arial"/>
          <w:color w:val="2C2C2C"/>
          <w:sz w:val="22"/>
          <w:szCs w:val="22"/>
        </w:rPr>
        <w:t xml:space="preserve">Zenoti BAA: filed with HIPAA compliance records (signed March 27, 2025)</w:t>
      </w:r>
    </w:p>
    <w:p>
      <w:pPr>
        <w:pStyle w:val="ListParagraph"/>
        <w:numPr>
          <w:ilvl w:val="0"/>
          <w:numId w:val="2"/>
        </w:numPr>
        <w:spacing w:after="80" w:line="280"/>
      </w:pPr>
      <w:r>
        <w:rPr>
          <w:rFonts w:ascii="Arial" w:cs="Arial" w:eastAsia="Arial" w:hAnsi="Arial"/>
          <w:color w:val="2C2C2C"/>
          <w:sz w:val="22"/>
          <w:szCs w:val="22"/>
        </w:rPr>
        <w:t xml:space="preserve">Zenoti T&amp;Cs: https://www.zenoti.com/trust/terms-and-conditions/ (last updated April 17, 2026)</w:t>
      </w:r>
    </w:p>
    <w:p>
      <w:pPr>
        <w:pStyle w:val="ListParagraph"/>
        <w:numPr>
          <w:ilvl w:val="0"/>
          <w:numId w:val="2"/>
        </w:numPr>
        <w:spacing w:after="80" w:line="280"/>
      </w:pPr>
      <w:r>
        <w:rPr>
          <w:rFonts w:ascii="Arial" w:cs="Arial" w:eastAsia="Arial" w:hAnsi="Arial"/>
          <w:color w:val="2C2C2C"/>
          <w:sz w:val="22"/>
          <w:szCs w:val="22"/>
        </w:rPr>
        <w:t xml:space="preserve">Implementation Scope: https://www.zenoti.com/implementation-scope</w:t>
      </w:r>
    </w:p>
    <w:p>
      <w:pPr>
        <w:pStyle w:val="ListParagraph"/>
        <w:numPr>
          <w:ilvl w:val="0"/>
          <w:numId w:val="2"/>
        </w:numPr>
        <w:spacing w:after="80" w:line="280"/>
      </w:pPr>
      <w:r>
        <w:rPr>
          <w:rFonts w:ascii="Arial" w:cs="Arial" w:eastAsia="Arial" w:hAnsi="Arial"/>
          <w:color w:val="2C2C2C"/>
          <w:sz w:val="22"/>
          <w:szCs w:val="22"/>
        </w:rPr>
        <w:t xml:space="preserve">Privacy Policy: https://www.zenoti.com/privacy.html</w:t>
      </w:r>
    </w:p>
    <w:p>
      <w:pPr>
        <w:pStyle w:val="ListParagraph"/>
        <w:numPr>
          <w:ilvl w:val="0"/>
          <w:numId w:val="2"/>
        </w:numPr>
        <w:spacing w:after="80" w:line="280"/>
      </w:pPr>
      <w:r>
        <w:rPr>
          <w:rFonts w:ascii="Arial" w:cs="Arial" w:eastAsia="Arial" w:hAnsi="Arial"/>
          <w:color w:val="2C2C2C"/>
          <w:sz w:val="22"/>
          <w:szCs w:val="22"/>
        </w:rPr>
        <w:t xml:space="preserve">Status page (uptime, incidents): check Zenoti's system status page</w:t>
      </w:r>
    </w:p>
    <w:p>
      <w:r>
        <w:br w:type="page"/>
      </w:r>
    </w:p>
    <w:p>
      <w:pPr>
        <w:pStyle w:val="Heading1"/>
        <w:spacing w:after="200" w:before="400"/>
      </w:pPr>
      <w:r>
        <w:rPr>
          <w:rFonts w:ascii="Arial" w:cs="Arial" w:eastAsia="Arial" w:hAnsi="Arial"/>
          <w:b/>
          <w:bCs/>
          <w:color w:val="1B3A5C"/>
          <w:sz w:val="36"/>
          <w:szCs w:val="36"/>
        </w:rPr>
        <w:t xml:space="preserve">2. What You're Paying For</w:t>
      </w:r>
    </w:p>
    <w:p>
      <w:pPr>
        <w:pStyle w:val="Heading2"/>
        <w:spacing w:after="160" w:before="320"/>
      </w:pPr>
      <w:r>
        <w:rPr>
          <w:rFonts w:ascii="Arial" w:cs="Arial" w:eastAsia="Arial" w:hAnsi="Arial"/>
          <w:b/>
          <w:bCs/>
          <w:color w:val="1B3A5C"/>
          <w:sz w:val="28"/>
          <w:szCs w:val="28"/>
        </w:rPr>
        <w:t xml:space="preserve">Current Subscription ($700/month)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700"/>
        <w:gridCol w:w="4060"/>
      </w:tblGrid>
      <w:tr>
        <w:trPr>
          <w:tblHeader/>
        </w:trPr>
        <w:tc>
          <w:tcPr>
            <w:tcW w:type="dxa" w:w="22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Item</w:t>
            </w:r>
          </w:p>
        </w:tc>
        <w:tc>
          <w:tcPr>
            <w:tcW w:type="dxa" w:w="14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Price</w:t>
            </w:r>
          </w:p>
        </w:tc>
        <w:tc>
          <w:tcPr>
            <w:tcW w:type="dxa" w:w="17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Quantity</w:t>
            </w:r>
          </w:p>
        </w:tc>
        <w:tc>
          <w:tcPr>
            <w:tcW w:type="dxa" w:w="406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Notes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Zenoti Core</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$255/mo</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1 Center</w:t>
            </w:r>
          </w:p>
        </w:tc>
        <w:tc>
          <w:tcPr>
            <w:tcW w:type="dxa" w:w="4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Lite tier — features may need upgrade</w:t>
            </w:r>
          </w:p>
        </w:tc>
      </w:tr>
      <w:tr>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Photo Manager</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$125/mo</w:t>
            </w:r>
          </w:p>
        </w:tc>
        <w:tc>
          <w:tcPr>
            <w:tcW w:type="dxa" w:w="1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1 Center</w:t>
            </w:r>
          </w:p>
        </w:tc>
        <w:tc>
          <w:tcPr>
            <w:tcW w:type="dxa" w:w="40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For aesthetic before/after</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HyperConnect Converse</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$250/mo</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1 Center</w:t>
            </w:r>
          </w:p>
        </w:tc>
        <w:tc>
          <w:tcPr>
            <w:tcW w:type="dxa" w:w="4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Includes 10K ezConnect SMS + 2K SmartBot SMS/mo</w:t>
            </w:r>
          </w:p>
        </w:tc>
      </w:tr>
      <w:tr>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ePrescribe EPCS</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$70/mo</w:t>
            </w:r>
          </w:p>
        </w:tc>
        <w:tc>
          <w:tcPr>
            <w:tcW w:type="dxa" w:w="1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1 Provider</w:t>
            </w:r>
          </w:p>
        </w:tc>
        <w:tc>
          <w:tcPr>
            <w:tcW w:type="dxa" w:w="40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Currently only Dr. Tack — additional providers cost more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Marketing Email</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Included</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7,500/mo</w:t>
            </w:r>
          </w:p>
        </w:tc>
        <w:tc>
          <w:tcPr>
            <w:tcW w:type="dxa" w:w="4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No rollover; overage pricing applies</w:t>
            </w:r>
          </w:p>
        </w:tc>
      </w:tr>
      <w:tr>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Marketing SMS</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Included</w:t>
            </w:r>
          </w:p>
        </w:tc>
        <w:tc>
          <w:tcPr>
            <w:tcW w:type="dxa" w:w="1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1,000/mo</w:t>
            </w:r>
          </w:p>
        </w:tc>
        <w:tc>
          <w:tcPr>
            <w:tcW w:type="dxa" w:w="40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No rollover; $0.025/segment overage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Storage</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Included</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5GB</w:t>
            </w:r>
          </w:p>
        </w:tc>
        <w:tc>
          <w:tcPr>
            <w:tcW w:type="dxa" w:w="4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$10/mo per additional 5GB</w:t>
            </w:r>
          </w:p>
        </w:tc>
      </w:tr>
    </w:tbl>
    <w:p>
      <w:pPr>
        <w:pStyle w:val="Heading2"/>
        <w:spacing w:after="160" w:before="320"/>
      </w:pPr>
      <w:r>
        <w:rPr>
          <w:rFonts w:ascii="Arial" w:cs="Arial" w:eastAsia="Arial" w:hAnsi="Arial"/>
          <w:b/>
          <w:bCs/>
          <w:color w:val="1B3A5C"/>
          <w:sz w:val="28"/>
          <w:szCs w:val="28"/>
        </w:rPr>
        <w:t xml:space="preserve">Payment Processing Rates (ZPay USA)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Transaction Type</w:t>
            </w:r>
          </w:p>
        </w:tc>
        <w:tc>
          <w:tcPr>
            <w:tcW w:type="dxa" w:w="386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Rate</w:t>
            </w:r>
          </w:p>
        </w:tc>
      </w:tr>
      <w:tr>
        <w:tc>
          <w:tcPr>
            <w:tcW w:type="dxa" w:w="5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Cards Present (excl. Amex)</w:t>
            </w:r>
          </w:p>
        </w:tc>
        <w:tc>
          <w:tcPr>
            <w:tcW w:type="dxa" w:w="3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2.45% + 10c</w:t>
            </w:r>
          </w:p>
        </w:tc>
      </w:tr>
      <w:tr>
        <w:tc>
          <w:tcPr>
            <w:tcW w:type="dxa" w:w="5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Cards Not Present (excl. Amex)</w:t>
            </w:r>
          </w:p>
        </w:tc>
        <w:tc>
          <w:tcPr>
            <w:tcW w:type="dxa" w:w="38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2.95% + 10c</w:t>
            </w:r>
          </w:p>
        </w:tc>
      </w:tr>
      <w:tr>
        <w:tc>
          <w:tcPr>
            <w:tcW w:type="dxa" w:w="5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Amex Card Present</w:t>
            </w:r>
          </w:p>
        </w:tc>
        <w:tc>
          <w:tcPr>
            <w:tcW w:type="dxa" w:w="3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2.95% + 10c</w:t>
            </w:r>
          </w:p>
        </w:tc>
      </w:tr>
      <w:tr>
        <w:tc>
          <w:tcPr>
            <w:tcW w:type="dxa" w:w="5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Amex Not Present</w:t>
            </w:r>
          </w:p>
        </w:tc>
        <w:tc>
          <w:tcPr>
            <w:tcW w:type="dxa" w:w="38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3.25% + 10c</w:t>
            </w:r>
          </w:p>
        </w:tc>
      </w:tr>
      <w:tr>
        <w:tc>
          <w:tcPr>
            <w:tcW w:type="dxa" w:w="5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Non-Amex Downgrade Fee</w:t>
            </w:r>
          </w:p>
        </w:tc>
        <w:tc>
          <w:tcPr>
            <w:tcW w:type="dxa" w:w="3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3.35% + $0.30 (online without AVS)</w:t>
            </w:r>
          </w:p>
        </w:tc>
      </w:tr>
      <w:tr>
        <w:tc>
          <w:tcPr>
            <w:tcW w:type="dxa" w:w="5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Buy Now Pay Later — Sunbit</w:t>
            </w:r>
          </w:p>
        </w:tc>
        <w:tc>
          <w:tcPr>
            <w:tcW w:type="dxa" w:w="38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5%</w:t>
            </w:r>
          </w:p>
        </w:tc>
      </w:tr>
      <w:tr>
        <w:tc>
          <w:tcPr>
            <w:tcW w:type="dxa" w:w="5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Buy Now Pay Later — Affirm/Klarna/Afterpay</w:t>
            </w:r>
          </w:p>
        </w:tc>
        <w:tc>
          <w:tcPr>
            <w:tcW w:type="dxa" w:w="3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2C2C"/>
                <w:sz w:val="18"/>
                <w:szCs w:val="18"/>
              </w:rPr>
              <w:t xml:space="preserve">5.9%</w:t>
            </w:r>
          </w:p>
        </w:tc>
      </w:tr>
    </w:tbl>
    <w:p>
      <w:r>
        <w:br w:type="page"/>
      </w:r>
    </w:p>
    <w:p>
      <w:pPr>
        <w:pStyle w:val="Heading1"/>
        <w:spacing w:after="200" w:before="400"/>
      </w:pPr>
      <w:r>
        <w:rPr>
          <w:rFonts w:ascii="Arial" w:cs="Arial" w:eastAsia="Arial" w:hAnsi="Arial"/>
          <w:b/>
          <w:bCs/>
          <w:color w:val="1B3A5C"/>
          <w:sz w:val="36"/>
          <w:szCs w:val="36"/>
        </w:rPr>
        <w:t xml:space="preserve">3. What Zenoti Owes You (Contractual Obligations)</w:t>
      </w:r>
    </w:p>
    <w:p>
      <w:pPr>
        <w:pStyle w:val="Heading2"/>
        <w:spacing w:after="160" w:before="320"/>
      </w:pPr>
      <w:r>
        <w:rPr>
          <w:rFonts w:ascii="Arial" w:cs="Arial" w:eastAsia="Arial" w:hAnsi="Arial"/>
          <w:b/>
          <w:bCs/>
          <w:color w:val="1B3A5C"/>
          <w:sz w:val="28"/>
          <w:szCs w:val="28"/>
        </w:rPr>
        <w:t xml:space="preserve">Software Delivery</w:t>
      </w:r>
    </w:p>
    <w:p>
      <w:pPr>
        <w:pStyle w:val="ListParagraph"/>
        <w:numPr>
          <w:ilvl w:val="0"/>
          <w:numId w:val="2"/>
        </w:numPr>
        <w:spacing w:after="80" w:line="280"/>
      </w:pPr>
      <w:r>
        <w:rPr>
          <w:rFonts w:ascii="Arial" w:cs="Arial" w:eastAsia="Arial" w:hAnsi="Arial"/>
          <w:color w:val="2C2C2C"/>
          <w:sz w:val="22"/>
          <w:szCs w:val="22"/>
        </w:rPr>
        <w:t xml:space="preserve">99.5% uptime monthly (no service credits if missed — they just promise to try)</w:t>
      </w:r>
    </w:p>
    <w:p>
      <w:pPr>
        <w:pStyle w:val="ListParagraph"/>
        <w:numPr>
          <w:ilvl w:val="0"/>
          <w:numId w:val="2"/>
        </w:numPr>
        <w:spacing w:after="80" w:line="280"/>
      </w:pPr>
      <w:r>
        <w:rPr>
          <w:rFonts w:ascii="Arial" w:cs="Arial" w:eastAsia="Arial" w:hAnsi="Arial"/>
          <w:color w:val="2C2C2C"/>
          <w:sz w:val="22"/>
          <w:szCs w:val="22"/>
        </w:rPr>
        <w:t xml:space="preserve">Updates and patches available to all customers</w:t>
      </w:r>
    </w:p>
    <w:p>
      <w:pPr>
        <w:pStyle w:val="ListParagraph"/>
        <w:numPr>
          <w:ilvl w:val="0"/>
          <w:numId w:val="2"/>
        </w:numPr>
        <w:spacing w:after="80" w:line="280"/>
      </w:pPr>
      <w:r>
        <w:rPr>
          <w:rFonts w:ascii="Arial" w:cs="Arial" w:eastAsia="Arial" w:hAnsi="Arial"/>
          <w:color w:val="2C2C2C"/>
          <w:sz w:val="22"/>
          <w:szCs w:val="22"/>
        </w:rPr>
        <w:t xml:space="preserve">Standard customer support (no SLA on response time after go-live)</w:t>
      </w:r>
    </w:p>
    <w:p>
      <w:pPr>
        <w:pStyle w:val="Heading2"/>
        <w:spacing w:after="160" w:before="320"/>
      </w:pPr>
      <w:r>
        <w:rPr>
          <w:rFonts w:ascii="Arial" w:cs="Arial" w:eastAsia="Arial" w:hAnsi="Arial"/>
          <w:b/>
          <w:bCs/>
          <w:color w:val="1B3A5C"/>
          <w:sz w:val="28"/>
          <w:szCs w:val="28"/>
        </w:rPr>
        <w:t xml:space="preserve">Implementation</w:t>
      </w:r>
    </w:p>
    <w:p>
      <w:pPr>
        <w:pStyle w:val="ListParagraph"/>
        <w:numPr>
          <w:ilvl w:val="0"/>
          <w:numId w:val="2"/>
        </w:numPr>
        <w:spacing w:after="80" w:line="280"/>
      </w:pPr>
      <w:r>
        <w:rPr>
          <w:rFonts w:ascii="Arial" w:cs="Arial" w:eastAsia="Arial" w:hAnsi="Arial"/>
          <w:color w:val="2C2C2C"/>
          <w:sz w:val="22"/>
          <w:szCs w:val="22"/>
        </w:rPr>
        <w:t xml:space="preserve">Configure modules you've subscribed to</w:t>
      </w:r>
    </w:p>
    <w:p>
      <w:pPr>
        <w:pStyle w:val="ListParagraph"/>
        <w:numPr>
          <w:ilvl w:val="0"/>
          <w:numId w:val="2"/>
        </w:numPr>
        <w:spacing w:after="80" w:line="280"/>
      </w:pPr>
      <w:r>
        <w:rPr>
          <w:rFonts w:ascii="Arial" w:cs="Arial" w:eastAsia="Arial" w:hAnsi="Arial"/>
          <w:color w:val="2C2C2C"/>
          <w:sz w:val="22"/>
          <w:szCs w:val="22"/>
        </w:rPr>
        <w:t xml:space="preserve">Set up role-based access</w:t>
      </w:r>
    </w:p>
    <w:p>
      <w:pPr>
        <w:pStyle w:val="ListParagraph"/>
        <w:numPr>
          <w:ilvl w:val="0"/>
          <w:numId w:val="2"/>
        </w:numPr>
        <w:spacing w:after="80" w:line="280"/>
      </w:pPr>
      <w:r>
        <w:rPr>
          <w:rFonts w:ascii="Arial" w:cs="Arial" w:eastAsia="Arial" w:hAnsi="Arial"/>
          <w:color w:val="2C2C2C"/>
          <w:sz w:val="22"/>
          <w:szCs w:val="22"/>
        </w:rPr>
        <w:t xml:space="preserve">Migrate from ONE source, max 2 years past data (multi-source requires SOW)</w:t>
      </w:r>
    </w:p>
    <w:p>
      <w:pPr>
        <w:pStyle w:val="ListParagraph"/>
        <w:numPr>
          <w:ilvl w:val="0"/>
          <w:numId w:val="2"/>
        </w:numPr>
        <w:spacing w:after="80" w:line="280"/>
      </w:pPr>
      <w:r>
        <w:rPr>
          <w:rFonts w:ascii="Arial" w:cs="Arial" w:eastAsia="Arial" w:hAnsi="Arial"/>
          <w:color w:val="2C2C2C"/>
          <w:sz w:val="22"/>
          <w:szCs w:val="22"/>
        </w:rPr>
        <w:t xml:space="preserve">Assign Zenoti University courses</w:t>
      </w:r>
    </w:p>
    <w:p>
      <w:pPr>
        <w:pStyle w:val="ListParagraph"/>
        <w:numPr>
          <w:ilvl w:val="0"/>
          <w:numId w:val="2"/>
        </w:numPr>
        <w:spacing w:after="80" w:line="280"/>
      </w:pPr>
      <w:r>
        <w:rPr>
          <w:rFonts w:ascii="Arial" w:cs="Arial" w:eastAsia="Arial" w:hAnsi="Arial"/>
          <w:color w:val="2C2C2C"/>
          <w:sz w:val="22"/>
          <w:szCs w:val="22"/>
        </w:rPr>
        <w:t xml:space="preserve">3 business days of post-go-live support, then transition to standard support</w:t>
      </w:r>
    </w:p>
    <w:p>
      <w:pPr>
        <w:pStyle w:val="Heading2"/>
        <w:spacing w:after="160" w:before="320"/>
      </w:pPr>
      <w:r>
        <w:rPr>
          <w:rFonts w:ascii="Arial" w:cs="Arial" w:eastAsia="Arial" w:hAnsi="Arial"/>
          <w:b/>
          <w:bCs/>
          <w:color w:val="1B3A5C"/>
          <w:sz w:val="28"/>
          <w:szCs w:val="28"/>
        </w:rPr>
        <w:t xml:space="preserve">HIPAA / BAA Obligations</w:t>
      </w:r>
    </w:p>
    <w:p>
      <w:pPr>
        <w:pStyle w:val="ListParagraph"/>
        <w:numPr>
          <w:ilvl w:val="0"/>
          <w:numId w:val="2"/>
        </w:numPr>
        <w:spacing w:after="80" w:line="280"/>
      </w:pPr>
      <w:r>
        <w:rPr>
          <w:rFonts w:ascii="Arial" w:cs="Arial" w:eastAsia="Arial" w:hAnsi="Arial"/>
          <w:color w:val="2C2C2C"/>
          <w:sz w:val="22"/>
          <w:szCs w:val="22"/>
        </w:rPr>
        <w:t xml:space="preserve">Use appropriate Security Rule safeguards</w:t>
      </w:r>
    </w:p>
    <w:p>
      <w:pPr>
        <w:pStyle w:val="ListParagraph"/>
        <w:numPr>
          <w:ilvl w:val="0"/>
          <w:numId w:val="2"/>
        </w:numPr>
        <w:spacing w:after="80" w:line="280"/>
      </w:pPr>
      <w:r>
        <w:rPr>
          <w:rFonts w:ascii="Arial" w:cs="Arial" w:eastAsia="Arial" w:hAnsi="Arial"/>
          <w:color w:val="2C2C2C"/>
          <w:sz w:val="22"/>
          <w:szCs w:val="22"/>
        </w:rPr>
        <w:t xml:space="preserve">Notify CIMPC of breaches within 60 days</w:t>
      </w:r>
    </w:p>
    <w:p>
      <w:pPr>
        <w:pStyle w:val="ListParagraph"/>
        <w:numPr>
          <w:ilvl w:val="0"/>
          <w:numId w:val="2"/>
        </w:numPr>
        <w:spacing w:after="80" w:line="280"/>
      </w:pPr>
      <w:r>
        <w:rPr>
          <w:rFonts w:ascii="Arial" w:cs="Arial" w:eastAsia="Arial" w:hAnsi="Arial"/>
          <w:color w:val="2C2C2C"/>
          <w:sz w:val="22"/>
          <w:szCs w:val="22"/>
        </w:rPr>
        <w:t xml:space="preserve">Provide accounting of disclosures info within 30 days of request</w:t>
      </w:r>
    </w:p>
    <w:p>
      <w:pPr>
        <w:pStyle w:val="ListParagraph"/>
        <w:numPr>
          <w:ilvl w:val="0"/>
          <w:numId w:val="2"/>
        </w:numPr>
        <w:spacing w:after="80" w:line="280"/>
      </w:pPr>
      <w:r>
        <w:rPr>
          <w:rFonts w:ascii="Arial" w:cs="Arial" w:eastAsia="Arial" w:hAnsi="Arial"/>
          <w:color w:val="2C2C2C"/>
          <w:sz w:val="22"/>
          <w:szCs w:val="22"/>
        </w:rPr>
        <w:t xml:space="preserve">Forward patient requests received directly within 10 days</w:t>
      </w:r>
    </w:p>
    <w:p>
      <w:pPr>
        <w:pStyle w:val="ListParagraph"/>
        <w:numPr>
          <w:ilvl w:val="0"/>
          <w:numId w:val="2"/>
        </w:numPr>
        <w:spacing w:after="80" w:line="280"/>
      </w:pPr>
      <w:r>
        <w:rPr>
          <w:rFonts w:ascii="Arial" w:cs="Arial" w:eastAsia="Arial" w:hAnsi="Arial"/>
          <w:color w:val="2C2C2C"/>
          <w:sz w:val="22"/>
          <w:szCs w:val="22"/>
        </w:rPr>
        <w:t xml:space="preserve">Amend ePHI within 45 days of CIMPC instruction</w:t>
      </w:r>
    </w:p>
    <w:p>
      <w:pPr>
        <w:pStyle w:val="Heading2"/>
        <w:spacing w:after="160" w:before="320"/>
      </w:pPr>
      <w:r>
        <w:rPr>
          <w:rFonts w:ascii="Arial" w:cs="Arial" w:eastAsia="Arial" w:hAnsi="Arial"/>
          <w:b/>
          <w:bCs/>
          <w:color w:val="1B3A5C"/>
          <w:sz w:val="28"/>
          <w:szCs w:val="28"/>
        </w:rPr>
        <w:t xml:space="preserve">What They Do NOT Owe You</w:t>
      </w:r>
    </w:p>
    <w:p>
      <w:pPr>
        <w:pStyle w:val="ListParagraph"/>
        <w:numPr>
          <w:ilvl w:val="0"/>
          <w:numId w:val="2"/>
        </w:numPr>
        <w:spacing w:after="80" w:line="280"/>
      </w:pPr>
      <w:r>
        <w:rPr>
          <w:rFonts w:ascii="Arial" w:cs="Arial" w:eastAsia="Arial" w:hAnsi="Arial"/>
          <w:color w:val="2C2C2C"/>
          <w:sz w:val="22"/>
          <w:szCs w:val="22"/>
        </w:rPr>
        <w:t xml:space="preserve">Named Implementation Manager</w:t>
      </w:r>
    </w:p>
    <w:p>
      <w:pPr>
        <w:pStyle w:val="ListParagraph"/>
        <w:numPr>
          <w:ilvl w:val="0"/>
          <w:numId w:val="2"/>
        </w:numPr>
        <w:spacing w:after="80" w:line="280"/>
      </w:pPr>
      <w:r>
        <w:rPr>
          <w:rFonts w:ascii="Arial" w:cs="Arial" w:eastAsia="Arial" w:hAnsi="Arial"/>
          <w:color w:val="2C2C2C"/>
          <w:sz w:val="22"/>
          <w:szCs w:val="22"/>
        </w:rPr>
        <w:t xml:space="preserve">Live or in-person training</w:t>
      </w:r>
    </w:p>
    <w:p>
      <w:pPr>
        <w:pStyle w:val="ListParagraph"/>
        <w:numPr>
          <w:ilvl w:val="0"/>
          <w:numId w:val="2"/>
        </w:numPr>
        <w:spacing w:after="80" w:line="280"/>
      </w:pPr>
      <w:r>
        <w:rPr>
          <w:rFonts w:ascii="Arial" w:cs="Arial" w:eastAsia="Arial" w:hAnsi="Arial"/>
          <w:color w:val="2C2C2C"/>
          <w:sz w:val="22"/>
          <w:szCs w:val="22"/>
        </w:rPr>
        <w:t xml:space="preserve">Multi-source data migration without SOW</w:t>
      </w:r>
    </w:p>
    <w:p>
      <w:pPr>
        <w:pStyle w:val="ListParagraph"/>
        <w:numPr>
          <w:ilvl w:val="0"/>
          <w:numId w:val="2"/>
        </w:numPr>
        <w:spacing w:after="80" w:line="280"/>
      </w:pPr>
      <w:r>
        <w:rPr>
          <w:rFonts w:ascii="Arial" w:cs="Arial" w:eastAsia="Arial" w:hAnsi="Arial"/>
          <w:color w:val="2C2C2C"/>
          <w:sz w:val="22"/>
          <w:szCs w:val="22"/>
        </w:rPr>
        <w:t xml:space="preserve">Image, EMR, or photo migration without SOW</w:t>
      </w:r>
    </w:p>
    <w:p>
      <w:pPr>
        <w:pStyle w:val="ListParagraph"/>
        <w:numPr>
          <w:ilvl w:val="0"/>
          <w:numId w:val="2"/>
        </w:numPr>
        <w:spacing w:after="80" w:line="280"/>
      </w:pPr>
      <w:r>
        <w:rPr>
          <w:rFonts w:ascii="Arial" w:cs="Arial" w:eastAsia="Arial" w:hAnsi="Arial"/>
          <w:color w:val="2C2C2C"/>
          <w:sz w:val="22"/>
          <w:szCs w:val="22"/>
        </w:rPr>
        <w:t xml:space="preserve">Service credits for SLA misses</w:t>
      </w:r>
    </w:p>
    <w:p>
      <w:pPr>
        <w:pStyle w:val="ListParagraph"/>
        <w:numPr>
          <w:ilvl w:val="0"/>
          <w:numId w:val="2"/>
        </w:numPr>
        <w:spacing w:after="80" w:line="280"/>
      </w:pPr>
      <w:r>
        <w:rPr>
          <w:rFonts w:ascii="Arial" w:cs="Arial" w:eastAsia="Arial" w:hAnsi="Arial"/>
          <w:color w:val="2C2C2C"/>
          <w:sz w:val="22"/>
          <w:szCs w:val="22"/>
        </w:rPr>
        <w:t xml:space="preserve">Specific support response time after first 3 days</w:t>
      </w:r>
    </w:p>
    <w:p>
      <w:pPr>
        <w:pStyle w:val="ListParagraph"/>
        <w:numPr>
          <w:ilvl w:val="0"/>
          <w:numId w:val="2"/>
        </w:numPr>
        <w:spacing w:after="80" w:line="280"/>
      </w:pPr>
      <w:r>
        <w:rPr>
          <w:rFonts w:ascii="Arial" w:cs="Arial" w:eastAsia="Arial" w:hAnsi="Arial"/>
          <w:color w:val="2C2C2C"/>
          <w:sz w:val="22"/>
          <w:szCs w:val="22"/>
        </w:rPr>
        <w:t xml:space="preserve">More than $1,000 liability per incident</w:t>
      </w:r>
    </w:p>
    <w:p>
      <w:r>
        <w:br w:type="page"/>
      </w:r>
    </w:p>
    <w:p>
      <w:pPr>
        <w:pStyle w:val="Heading1"/>
        <w:spacing w:after="200" w:before="400"/>
      </w:pPr>
      <w:r>
        <w:rPr>
          <w:rFonts w:ascii="Arial" w:cs="Arial" w:eastAsia="Arial" w:hAnsi="Arial"/>
          <w:b/>
          <w:bCs/>
          <w:color w:val="1B3A5C"/>
          <w:sz w:val="36"/>
          <w:szCs w:val="36"/>
        </w:rPr>
        <w:t xml:space="preserve">4. Leverage Windows</w:t>
      </w:r>
    </w:p>
    <w:p>
      <w:pPr>
        <w:spacing w:after="100" w:before="0" w:line="280"/>
        <w:jc w:val="left"/>
      </w:pPr>
      <w:r>
        <w:rPr>
          <w:rFonts w:ascii="Arial" w:cs="Arial" w:eastAsia="Arial" w:hAnsi="Arial"/>
          <w:b w:val="false"/>
          <w:bCs w:val="false"/>
          <w:i w:val="false"/>
          <w:iCs w:val="false"/>
          <w:color w:val="2C2C2C"/>
          <w:sz w:val="22"/>
          <w:szCs w:val="22"/>
        </w:rPr>
        <w:t xml:space="preserve">Your negotiating power is not constant — it varies through the contract cycle. Use it when it's high; protect what you have when it's low.</w:t>
      </w:r>
    </w:p>
    <w:p>
      <w:pPr>
        <w:pStyle w:val="Heading2"/>
        <w:spacing w:after="160" w:before="320"/>
      </w:pPr>
      <w:r>
        <w:rPr>
          <w:rFonts w:ascii="Arial" w:cs="Arial" w:eastAsia="Arial" w:hAnsi="Arial"/>
          <w:b/>
          <w:bCs/>
          <w:color w:val="1B3A5C"/>
          <w:sz w:val="28"/>
          <w:szCs w:val="28"/>
        </w:rPr>
        <w:t xml:space="preserve">HIGH Leverage Windows</w:t>
      </w:r>
    </w:p>
    <w:p>
      <w:pPr>
        <w:spacing w:after="80"/>
      </w:pPr>
      <w:r>
        <w:t xml:space="preserve"/>
      </w:r>
    </w:p>
    <w:p>
      <w:pPr>
        <w:pStyle w:val="ListParagraph"/>
        <w:numPr>
          <w:ilvl w:val="0"/>
          <w:numId w:val="2"/>
        </w:numPr>
        <w:spacing w:after="80" w:line="280"/>
      </w:pPr>
      <w:r>
        <w:rPr>
          <w:rFonts w:ascii="Arial" w:cs="Arial" w:eastAsia="Arial" w:hAnsi="Arial"/>
          <w:b/>
          <w:bCs/>
          <w:i w:val="false"/>
          <w:iCs w:val="false"/>
          <w:color w:val="1B3A5C"/>
          <w:sz w:val="22"/>
          <w:szCs w:val="22"/>
        </w:rPr>
        <w:t xml:space="preserve">RIGHT NOW (year one of renewal): </w:t>
      </w:r>
      <w:r>
        <w:rPr>
          <w:rFonts w:ascii="Arial" w:cs="Arial" w:eastAsia="Arial" w:hAnsi="Arial"/>
          <w:b w:val="false"/>
          <w:bCs w:val="false"/>
          <w:i w:val="false"/>
          <w:iCs w:val="false"/>
          <w:color w:val="2C2C2C"/>
          <w:sz w:val="22"/>
          <w:szCs w:val="22"/>
        </w:rPr>
        <w:t xml:space="preserve">You haven't yet built deep dependency. Switching costs are still manageable. Negotiate hard for SOW additions, training credits, dedicated support, fee freezes.</w:t>
      </w:r>
    </w:p>
    <w:p>
      <w:pPr>
        <w:pStyle w:val="ListParagraph"/>
        <w:numPr>
          <w:ilvl w:val="0"/>
          <w:numId w:val="2"/>
        </w:numPr>
        <w:spacing w:after="80" w:line="280"/>
      </w:pPr>
      <w:r>
        <w:rPr>
          <w:rFonts w:ascii="Arial" w:cs="Arial" w:eastAsia="Arial" w:hAnsi="Arial"/>
          <w:b/>
          <w:bCs/>
          <w:i w:val="false"/>
          <w:iCs w:val="false"/>
          <w:color w:val="1B3A5C"/>
          <w:sz w:val="22"/>
          <w:szCs w:val="22"/>
        </w:rPr>
        <w:t xml:space="preserve">December 2026 - January 2027 (90 days before renewal): </w:t>
      </w:r>
      <w:r>
        <w:rPr>
          <w:rFonts w:ascii="Arial" w:cs="Arial" w:eastAsia="Arial" w:hAnsi="Arial"/>
          <w:b w:val="false"/>
          <w:bCs w:val="false"/>
          <w:i w:val="false"/>
          <w:iCs w:val="false"/>
          <w:color w:val="2C2C2C"/>
          <w:sz w:val="22"/>
          <w:szCs w:val="22"/>
        </w:rPr>
        <w:t xml:space="preserve">You can credibly threaten non-renewal. This is when you renegotiate the next term's pricing, add modules at favorable rates, or extract concessions for staying.</w:t>
      </w:r>
    </w:p>
    <w:p>
      <w:pPr>
        <w:pStyle w:val="ListParagraph"/>
        <w:numPr>
          <w:ilvl w:val="0"/>
          <w:numId w:val="2"/>
        </w:numPr>
        <w:spacing w:after="80" w:line="280"/>
      </w:pPr>
      <w:r>
        <w:rPr>
          <w:rFonts w:ascii="Arial" w:cs="Arial" w:eastAsia="Arial" w:hAnsi="Arial"/>
          <w:b/>
          <w:bCs/>
          <w:i w:val="false"/>
          <w:iCs w:val="false"/>
          <w:color w:val="1B3A5C"/>
          <w:sz w:val="22"/>
          <w:szCs w:val="22"/>
        </w:rPr>
        <w:t xml:space="preserve">Whenever you need an upgrade or expansion: </w:t>
      </w:r>
      <w:r>
        <w:rPr>
          <w:rFonts w:ascii="Arial" w:cs="Arial" w:eastAsia="Arial" w:hAnsi="Arial"/>
          <w:b w:val="false"/>
          <w:bCs w:val="false"/>
          <w:i w:val="false"/>
          <w:iCs w:val="false"/>
          <w:color w:val="2C2C2C"/>
          <w:sz w:val="22"/>
          <w:szCs w:val="22"/>
        </w:rPr>
        <w:t xml:space="preserve">When Zenoti wants more revenue from you, you can attach conditions. Want us to upgrade tier? Then we need extended implementation support.</w:t>
      </w:r>
    </w:p>
    <w:p>
      <w:pPr>
        <w:pStyle w:val="Heading2"/>
        <w:spacing w:after="160" w:before="320"/>
      </w:pPr>
      <w:r>
        <w:rPr>
          <w:rFonts w:ascii="Arial" w:cs="Arial" w:eastAsia="Arial" w:hAnsi="Arial"/>
          <w:b/>
          <w:bCs/>
          <w:color w:val="1B3A5C"/>
          <w:sz w:val="28"/>
          <w:szCs w:val="28"/>
        </w:rPr>
        <w:t xml:space="preserve">LOW Leverage Windows</w:t>
      </w:r>
    </w:p>
    <w:p>
      <w:pPr>
        <w:spacing w:after="80"/>
      </w:pPr>
      <w:r>
        <w:t xml:space="preserve"/>
      </w:r>
    </w:p>
    <w:p>
      <w:pPr>
        <w:pStyle w:val="ListParagraph"/>
        <w:numPr>
          <w:ilvl w:val="0"/>
          <w:numId w:val="2"/>
        </w:numPr>
        <w:spacing w:after="80" w:line="280"/>
      </w:pPr>
      <w:r>
        <w:rPr>
          <w:rFonts w:ascii="Arial" w:cs="Arial" w:eastAsia="Arial" w:hAnsi="Arial"/>
          <w:b/>
          <w:bCs/>
          <w:i w:val="false"/>
          <w:iCs w:val="false"/>
          <w:color w:val="1B3A5C"/>
          <w:sz w:val="22"/>
          <w:szCs w:val="22"/>
        </w:rPr>
        <w:t xml:space="preserve">Mid-term (April-November of any contract year): </w:t>
      </w:r>
      <w:r>
        <w:rPr>
          <w:rFonts w:ascii="Arial" w:cs="Arial" w:eastAsia="Arial" w:hAnsi="Arial"/>
          <w:b w:val="false"/>
          <w:bCs w:val="false"/>
          <w:i w:val="false"/>
          <w:iCs w:val="false"/>
          <w:color w:val="2C2C2C"/>
          <w:sz w:val="22"/>
          <w:szCs w:val="22"/>
        </w:rPr>
        <w:t xml:space="preserve">Limited leverage. You're locked in. They have less reason to make concessions.</w:t>
      </w:r>
    </w:p>
    <w:p>
      <w:pPr>
        <w:pStyle w:val="ListParagraph"/>
        <w:numPr>
          <w:ilvl w:val="0"/>
          <w:numId w:val="2"/>
        </w:numPr>
        <w:spacing w:after="80" w:line="280"/>
      </w:pPr>
      <w:r>
        <w:rPr>
          <w:rFonts w:ascii="Arial" w:cs="Arial" w:eastAsia="Arial" w:hAnsi="Arial"/>
          <w:b/>
          <w:bCs/>
          <w:i w:val="false"/>
          <w:iCs w:val="false"/>
          <w:color w:val="1B3A5C"/>
          <w:sz w:val="22"/>
          <w:szCs w:val="22"/>
        </w:rPr>
        <w:t xml:space="preserve">After year 2: </w:t>
      </w:r>
      <w:r>
        <w:rPr>
          <w:rFonts w:ascii="Arial" w:cs="Arial" w:eastAsia="Arial" w:hAnsi="Arial"/>
          <w:b w:val="false"/>
          <w:bCs w:val="false"/>
          <w:i w:val="false"/>
          <w:iCs w:val="false"/>
          <w:color w:val="2C2C2C"/>
          <w:sz w:val="22"/>
          <w:szCs w:val="22"/>
        </w:rPr>
        <w:t xml:space="preserve">Your data is in their system, your team is trained on their workflow, your patients expect their tools. Switching costs become substantial. They know it.</w:t>
      </w:r>
    </w:p>
    <w:p>
      <w:pPr>
        <w:pStyle w:val="ListParagraph"/>
        <w:numPr>
          <w:ilvl w:val="0"/>
          <w:numId w:val="2"/>
        </w:numPr>
        <w:spacing w:after="80" w:line="280"/>
      </w:pPr>
      <w:r>
        <w:rPr>
          <w:rFonts w:ascii="Arial" w:cs="Arial" w:eastAsia="Arial" w:hAnsi="Arial"/>
          <w:b/>
          <w:bCs/>
          <w:i w:val="false"/>
          <w:iCs w:val="false"/>
          <w:color w:val="1B3A5C"/>
          <w:sz w:val="22"/>
          <w:szCs w:val="22"/>
        </w:rPr>
        <w:t xml:space="preserve">When you've already announced expansion plans: </w:t>
      </w:r>
      <w:r>
        <w:rPr>
          <w:rFonts w:ascii="Arial" w:cs="Arial" w:eastAsia="Arial" w:hAnsi="Arial"/>
          <w:b w:val="false"/>
          <w:bCs w:val="false"/>
          <w:i w:val="false"/>
          <w:iCs w:val="false"/>
          <w:color w:val="2C2C2C"/>
          <w:sz w:val="22"/>
          <w:szCs w:val="22"/>
        </w:rPr>
        <w:t xml:space="preserve">If they know you're opening a second location, your bargaining position weakens because they know you need them more, not less.</w:t>
      </w:r>
    </w:p>
    <w:p>
      <w:pPr>
        <w:pStyle w:val="Heading2"/>
        <w:spacing w:after="160" w:before="320"/>
      </w:pPr>
      <w:r>
        <w:rPr>
          <w:rFonts w:ascii="Arial" w:cs="Arial" w:eastAsia="Arial" w:hAnsi="Arial"/>
          <w:b/>
          <w:bCs/>
          <w:color w:val="1B3A5C"/>
          <w:sz w:val="28"/>
          <w:szCs w:val="28"/>
        </w:rPr>
        <w:t xml:space="preserve">Building Long-Term Leverage</w:t>
      </w:r>
    </w:p>
    <w:p>
      <w:pPr>
        <w:pStyle w:val="ListParagraph"/>
        <w:numPr>
          <w:ilvl w:val="0"/>
          <w:numId w:val="2"/>
        </w:numPr>
        <w:spacing w:after="80" w:line="280"/>
      </w:pPr>
      <w:r>
        <w:rPr>
          <w:rFonts w:ascii="Arial" w:cs="Arial" w:eastAsia="Arial" w:hAnsi="Arial"/>
          <w:color w:val="2C2C2C"/>
          <w:sz w:val="22"/>
          <w:szCs w:val="22"/>
        </w:rPr>
        <w:t xml:space="preserve">Maintain awareness of competitor offerings (Mindbody, Boulevard, Vagaro, Patientnow, Aesthetic Record) — even if you don't plan to switch</w:t>
      </w:r>
    </w:p>
    <w:p>
      <w:pPr>
        <w:pStyle w:val="ListParagraph"/>
        <w:numPr>
          <w:ilvl w:val="0"/>
          <w:numId w:val="2"/>
        </w:numPr>
        <w:spacing w:after="80" w:line="280"/>
      </w:pPr>
      <w:r>
        <w:rPr>
          <w:rFonts w:ascii="Arial" w:cs="Arial" w:eastAsia="Arial" w:hAnsi="Arial"/>
          <w:color w:val="2C2C2C"/>
          <w:sz w:val="22"/>
          <w:szCs w:val="22"/>
        </w:rPr>
        <w:t xml:space="preserve">Get a competitive quote every 18 months — you don't have to use it but having it changes your conversations</w:t>
      </w:r>
    </w:p>
    <w:p>
      <w:pPr>
        <w:pStyle w:val="ListParagraph"/>
        <w:numPr>
          <w:ilvl w:val="0"/>
          <w:numId w:val="2"/>
        </w:numPr>
        <w:spacing w:after="80" w:line="280"/>
      </w:pPr>
      <w:r>
        <w:rPr>
          <w:rFonts w:ascii="Arial" w:cs="Arial" w:eastAsia="Arial" w:hAnsi="Arial"/>
          <w:color w:val="2C2C2C"/>
          <w:sz w:val="22"/>
          <w:szCs w:val="22"/>
        </w:rPr>
        <w:t xml:space="preserve">Document every commitment Zenoti makes in writing — verbal promises are worthless at renewal time</w:t>
      </w:r>
    </w:p>
    <w:p>
      <w:pPr>
        <w:pStyle w:val="ListParagraph"/>
        <w:numPr>
          <w:ilvl w:val="0"/>
          <w:numId w:val="2"/>
        </w:numPr>
        <w:spacing w:after="80" w:line="280"/>
      </w:pPr>
      <w:r>
        <w:rPr>
          <w:rFonts w:ascii="Arial" w:cs="Arial" w:eastAsia="Arial" w:hAnsi="Arial"/>
          <w:color w:val="2C2C2C"/>
          <w:sz w:val="22"/>
          <w:szCs w:val="22"/>
        </w:rPr>
        <w:t xml:space="preserve">Track your usage relative to subscription limits — being a high-utilization customer is a leverage point (you're valuable to retain)</w:t>
      </w:r>
    </w:p>
    <w:p>
      <w:r>
        <w:br w:type="page"/>
      </w:r>
    </w:p>
    <w:p>
      <w:pPr>
        <w:pStyle w:val="Heading1"/>
        <w:spacing w:after="200" w:before="400"/>
      </w:pPr>
      <w:r>
        <w:rPr>
          <w:rFonts w:ascii="Arial" w:cs="Arial" w:eastAsia="Arial" w:hAnsi="Arial"/>
          <w:b/>
          <w:bCs/>
          <w:color w:val="1B3A5C"/>
          <w:sz w:val="36"/>
          <w:szCs w:val="36"/>
        </w:rPr>
        <w:t xml:space="preserve">5. Negotiation Framework</w:t>
      </w:r>
    </w:p>
    <w:p>
      <w:pPr>
        <w:pStyle w:val="Heading2"/>
        <w:spacing w:after="160" w:before="320"/>
      </w:pPr>
      <w:r>
        <w:rPr>
          <w:rFonts w:ascii="Arial" w:cs="Arial" w:eastAsia="Arial" w:hAnsi="Arial"/>
          <w:b/>
          <w:bCs/>
          <w:color w:val="1B3A5C"/>
          <w:sz w:val="28"/>
          <w:szCs w:val="28"/>
        </w:rPr>
        <w:t xml:space="preserve">The Four Things to Negotiate For</w:t>
      </w:r>
    </w:p>
    <w:p>
      <w:pPr>
        <w:pStyle w:val="Heading3"/>
        <w:spacing w:after="120" w:before="240"/>
      </w:pPr>
      <w:r>
        <w:rPr>
          <w:rFonts w:ascii="Arial" w:cs="Arial" w:eastAsia="Arial" w:hAnsi="Arial"/>
          <w:b/>
          <w:bCs/>
          <w:color w:val="2E8B8B"/>
          <w:sz w:val="24"/>
          <w:szCs w:val="24"/>
        </w:rPr>
        <w:t xml:space="preserve">Financial</w:t>
      </w:r>
    </w:p>
    <w:p>
      <w:pPr>
        <w:pStyle w:val="ListParagraph"/>
        <w:numPr>
          <w:ilvl w:val="0"/>
          <w:numId w:val="2"/>
        </w:numPr>
        <w:spacing w:after="80" w:line="280"/>
      </w:pPr>
      <w:r>
        <w:rPr>
          <w:rFonts w:ascii="Arial" w:cs="Arial" w:eastAsia="Arial" w:hAnsi="Arial"/>
          <w:color w:val="2C2C2C"/>
          <w:sz w:val="22"/>
          <w:szCs w:val="22"/>
        </w:rPr>
        <w:t xml:space="preserve">Fee freeze for next renewal term (instead of the 20% maximum increase)</w:t>
      </w:r>
    </w:p>
    <w:p>
      <w:pPr>
        <w:pStyle w:val="ListParagraph"/>
        <w:numPr>
          <w:ilvl w:val="0"/>
          <w:numId w:val="2"/>
        </w:numPr>
        <w:spacing w:after="80" w:line="280"/>
      </w:pPr>
      <w:r>
        <w:rPr>
          <w:rFonts w:ascii="Arial" w:cs="Arial" w:eastAsia="Arial" w:hAnsi="Arial"/>
          <w:color w:val="2C2C2C"/>
          <w:sz w:val="22"/>
          <w:szCs w:val="22"/>
        </w:rPr>
        <w:t xml:space="preserve">Reduced or waived ePrescribe per-provider fees if adding multiple providers</w:t>
      </w:r>
    </w:p>
    <w:p>
      <w:pPr>
        <w:pStyle w:val="ListParagraph"/>
        <w:numPr>
          <w:ilvl w:val="0"/>
          <w:numId w:val="2"/>
        </w:numPr>
        <w:spacing w:after="80" w:line="280"/>
      </w:pPr>
      <w:r>
        <w:rPr>
          <w:rFonts w:ascii="Arial" w:cs="Arial" w:eastAsia="Arial" w:hAnsi="Arial"/>
          <w:color w:val="2C2C2C"/>
          <w:sz w:val="22"/>
          <w:szCs w:val="22"/>
        </w:rPr>
        <w:t xml:space="preserve">SMS overage credits or higher monthly allotments</w:t>
      </w:r>
    </w:p>
    <w:p>
      <w:pPr>
        <w:pStyle w:val="ListParagraph"/>
        <w:numPr>
          <w:ilvl w:val="0"/>
          <w:numId w:val="2"/>
        </w:numPr>
        <w:spacing w:after="80" w:line="280"/>
      </w:pPr>
      <w:r>
        <w:rPr>
          <w:rFonts w:ascii="Arial" w:cs="Arial" w:eastAsia="Arial" w:hAnsi="Arial"/>
          <w:color w:val="2C2C2C"/>
          <w:sz w:val="22"/>
          <w:szCs w:val="22"/>
        </w:rPr>
        <w:t xml:space="preserve">Storage allowance increase beyond 5GB for aesthetic photos</w:t>
      </w:r>
    </w:p>
    <w:p>
      <w:pPr>
        <w:pStyle w:val="ListParagraph"/>
        <w:numPr>
          <w:ilvl w:val="0"/>
          <w:numId w:val="2"/>
        </w:numPr>
        <w:spacing w:after="80" w:line="280"/>
      </w:pPr>
      <w:r>
        <w:rPr>
          <w:rFonts w:ascii="Arial" w:cs="Arial" w:eastAsia="Arial" w:hAnsi="Arial"/>
          <w:color w:val="2C2C2C"/>
          <w:sz w:val="22"/>
          <w:szCs w:val="22"/>
        </w:rPr>
        <w:t xml:space="preserve">Multi-year discount in exchange for longer commitment</w:t>
      </w:r>
    </w:p>
    <w:p>
      <w:pPr>
        <w:pStyle w:val="Heading3"/>
        <w:spacing w:after="120" w:before="240"/>
      </w:pPr>
      <w:r>
        <w:rPr>
          <w:rFonts w:ascii="Arial" w:cs="Arial" w:eastAsia="Arial" w:hAnsi="Arial"/>
          <w:b/>
          <w:bCs/>
          <w:color w:val="2E8B8B"/>
          <w:sz w:val="24"/>
          <w:szCs w:val="24"/>
        </w:rPr>
        <w:t xml:space="preserve">Implementation Support</w:t>
      </w:r>
    </w:p>
    <w:p>
      <w:pPr>
        <w:pStyle w:val="ListParagraph"/>
        <w:numPr>
          <w:ilvl w:val="0"/>
          <w:numId w:val="2"/>
        </w:numPr>
        <w:spacing w:after="80" w:line="280"/>
      </w:pPr>
      <w:r>
        <w:rPr>
          <w:rFonts w:ascii="Arial" w:cs="Arial" w:eastAsia="Arial" w:hAnsi="Arial"/>
          <w:color w:val="2C2C2C"/>
          <w:sz w:val="22"/>
          <w:szCs w:val="22"/>
        </w:rPr>
        <w:t xml:space="preserve">Named Implementation Manager for duration of project</w:t>
      </w:r>
    </w:p>
    <w:p>
      <w:pPr>
        <w:pStyle w:val="ListParagraph"/>
        <w:numPr>
          <w:ilvl w:val="0"/>
          <w:numId w:val="2"/>
        </w:numPr>
        <w:spacing w:after="80" w:line="280"/>
      </w:pPr>
      <w:r>
        <w:rPr>
          <w:rFonts w:ascii="Arial" w:cs="Arial" w:eastAsia="Arial" w:hAnsi="Arial"/>
          <w:color w:val="2C2C2C"/>
          <w:sz w:val="22"/>
          <w:szCs w:val="22"/>
        </w:rPr>
        <w:t xml:space="preserve">Extended post-go-live support beyond standard 3 days (target: 30 days)</w:t>
      </w:r>
    </w:p>
    <w:p>
      <w:pPr>
        <w:pStyle w:val="ListParagraph"/>
        <w:numPr>
          <w:ilvl w:val="0"/>
          <w:numId w:val="2"/>
        </w:numPr>
        <w:spacing w:after="80" w:line="280"/>
      </w:pPr>
      <w:r>
        <w:rPr>
          <w:rFonts w:ascii="Arial" w:cs="Arial" w:eastAsia="Arial" w:hAnsi="Arial"/>
          <w:color w:val="2C2C2C"/>
          <w:sz w:val="22"/>
          <w:szCs w:val="22"/>
        </w:rPr>
        <w:t xml:space="preserve">Training credits — live trainer hours instead of self-paced only</w:t>
      </w:r>
    </w:p>
    <w:p>
      <w:pPr>
        <w:pStyle w:val="ListParagraph"/>
        <w:numPr>
          <w:ilvl w:val="0"/>
          <w:numId w:val="2"/>
        </w:numPr>
        <w:spacing w:after="80" w:line="280"/>
      </w:pPr>
      <w:r>
        <w:rPr>
          <w:rFonts w:ascii="Arial" w:cs="Arial" w:eastAsia="Arial" w:hAnsi="Arial"/>
          <w:color w:val="2C2C2C"/>
          <w:sz w:val="22"/>
          <w:szCs w:val="22"/>
        </w:rPr>
        <w:t xml:space="preserve">Multi-source migration SOW at favorable terms (not standard rates)</w:t>
      </w:r>
    </w:p>
    <w:p>
      <w:pPr>
        <w:pStyle w:val="ListParagraph"/>
        <w:numPr>
          <w:ilvl w:val="0"/>
          <w:numId w:val="2"/>
        </w:numPr>
        <w:spacing w:after="80" w:line="280"/>
      </w:pPr>
      <w:r>
        <w:rPr>
          <w:rFonts w:ascii="Arial" w:cs="Arial" w:eastAsia="Arial" w:hAnsi="Arial"/>
          <w:color w:val="2C2C2C"/>
          <w:sz w:val="22"/>
          <w:szCs w:val="22"/>
        </w:rPr>
        <w:t xml:space="preserve">Patient Treatment Record migration included or discounted</w:t>
      </w:r>
    </w:p>
    <w:p>
      <w:pPr>
        <w:pStyle w:val="Heading3"/>
        <w:spacing w:after="120" w:before="240"/>
      </w:pPr>
      <w:r>
        <w:rPr>
          <w:rFonts w:ascii="Arial" w:cs="Arial" w:eastAsia="Arial" w:hAnsi="Arial"/>
          <w:b/>
          <w:bCs/>
          <w:color w:val="2E8B8B"/>
          <w:sz w:val="24"/>
          <w:szCs w:val="24"/>
        </w:rPr>
        <w:t xml:space="preserve">Service Levels</w:t>
      </w:r>
    </w:p>
    <w:p>
      <w:pPr>
        <w:pStyle w:val="ListParagraph"/>
        <w:numPr>
          <w:ilvl w:val="0"/>
          <w:numId w:val="2"/>
        </w:numPr>
        <w:spacing w:after="80" w:line="280"/>
      </w:pPr>
      <w:r>
        <w:rPr>
          <w:rFonts w:ascii="Arial" w:cs="Arial" w:eastAsia="Arial" w:hAnsi="Arial"/>
          <w:color w:val="2C2C2C"/>
          <w:sz w:val="22"/>
          <w:szCs w:val="22"/>
        </w:rPr>
        <w:t xml:space="preserve">Service credits for downtime below 99.5% (industry standard offers credits)</w:t>
      </w:r>
    </w:p>
    <w:p>
      <w:pPr>
        <w:pStyle w:val="ListParagraph"/>
        <w:numPr>
          <w:ilvl w:val="0"/>
          <w:numId w:val="2"/>
        </w:numPr>
        <w:spacing w:after="80" w:line="280"/>
      </w:pPr>
      <w:r>
        <w:rPr>
          <w:rFonts w:ascii="Arial" w:cs="Arial" w:eastAsia="Arial" w:hAnsi="Arial"/>
          <w:color w:val="2C2C2C"/>
          <w:sz w:val="22"/>
          <w:szCs w:val="22"/>
        </w:rPr>
        <w:t xml:space="preserve">Defined response time SLA for support tickets (e.g., 4-hour response on critical issues)</w:t>
      </w:r>
    </w:p>
    <w:p>
      <w:pPr>
        <w:pStyle w:val="ListParagraph"/>
        <w:numPr>
          <w:ilvl w:val="0"/>
          <w:numId w:val="2"/>
        </w:numPr>
        <w:spacing w:after="80" w:line="280"/>
      </w:pPr>
      <w:r>
        <w:rPr>
          <w:rFonts w:ascii="Arial" w:cs="Arial" w:eastAsia="Arial" w:hAnsi="Arial"/>
          <w:color w:val="2C2C2C"/>
          <w:sz w:val="22"/>
          <w:szCs w:val="22"/>
        </w:rPr>
        <w:t xml:space="preserve">Named Account Manager for ongoing relationship</w:t>
      </w:r>
    </w:p>
    <w:p>
      <w:pPr>
        <w:pStyle w:val="ListParagraph"/>
        <w:numPr>
          <w:ilvl w:val="0"/>
          <w:numId w:val="2"/>
        </w:numPr>
        <w:spacing w:after="80" w:line="280"/>
      </w:pPr>
      <w:r>
        <w:rPr>
          <w:rFonts w:ascii="Arial" w:cs="Arial" w:eastAsia="Arial" w:hAnsi="Arial"/>
          <w:color w:val="2C2C2C"/>
          <w:sz w:val="22"/>
          <w:szCs w:val="22"/>
        </w:rPr>
        <w:t xml:space="preserve">Quarterly business review meetings</w:t>
      </w:r>
    </w:p>
    <w:p>
      <w:pPr>
        <w:pStyle w:val="Heading3"/>
        <w:spacing w:after="120" w:before="240"/>
      </w:pPr>
      <w:r>
        <w:rPr>
          <w:rFonts w:ascii="Arial" w:cs="Arial" w:eastAsia="Arial" w:hAnsi="Arial"/>
          <w:b/>
          <w:bCs/>
          <w:color w:val="2E8B8B"/>
          <w:sz w:val="24"/>
          <w:szCs w:val="24"/>
        </w:rPr>
        <w:t xml:space="preserve">Risk Reduction</w:t>
      </w:r>
    </w:p>
    <w:p>
      <w:pPr>
        <w:pStyle w:val="ListParagraph"/>
        <w:numPr>
          <w:ilvl w:val="0"/>
          <w:numId w:val="2"/>
        </w:numPr>
        <w:spacing w:after="80" w:line="280"/>
      </w:pPr>
      <w:r>
        <w:rPr>
          <w:rFonts w:ascii="Arial" w:cs="Arial" w:eastAsia="Arial" w:hAnsi="Arial"/>
          <w:color w:val="2C2C2C"/>
          <w:sz w:val="22"/>
          <w:szCs w:val="22"/>
        </w:rPr>
        <w:t xml:space="preserve">Notification of any feature changes that affect your workflow (not just price changes)</w:t>
      </w:r>
    </w:p>
    <w:p>
      <w:pPr>
        <w:pStyle w:val="ListParagraph"/>
        <w:numPr>
          <w:ilvl w:val="0"/>
          <w:numId w:val="2"/>
        </w:numPr>
        <w:spacing w:after="80" w:line="280"/>
      </w:pPr>
      <w:r>
        <w:rPr>
          <w:rFonts w:ascii="Arial" w:cs="Arial" w:eastAsia="Arial" w:hAnsi="Arial"/>
          <w:color w:val="2C2C2C"/>
          <w:sz w:val="22"/>
          <w:szCs w:val="22"/>
        </w:rPr>
        <w:t xml:space="preserve">Extended data export window beyond 30 days at termination</w:t>
      </w:r>
    </w:p>
    <w:p>
      <w:pPr>
        <w:pStyle w:val="ListParagraph"/>
        <w:numPr>
          <w:ilvl w:val="0"/>
          <w:numId w:val="2"/>
        </w:numPr>
        <w:spacing w:after="80" w:line="280"/>
      </w:pPr>
      <w:r>
        <w:rPr>
          <w:rFonts w:ascii="Arial" w:cs="Arial" w:eastAsia="Arial" w:hAnsi="Arial"/>
          <w:color w:val="2C2C2C"/>
          <w:sz w:val="22"/>
          <w:szCs w:val="22"/>
        </w:rPr>
        <w:t xml:space="preserve">Right to terminate without penalty if material features removed</w:t>
      </w:r>
    </w:p>
    <w:p>
      <w:pPr>
        <w:pStyle w:val="ListParagraph"/>
        <w:numPr>
          <w:ilvl w:val="0"/>
          <w:numId w:val="2"/>
        </w:numPr>
        <w:spacing w:after="80" w:line="280"/>
      </w:pPr>
      <w:r>
        <w:rPr>
          <w:rFonts w:ascii="Arial" w:cs="Arial" w:eastAsia="Arial" w:hAnsi="Arial"/>
          <w:color w:val="2C2C2C"/>
          <w:sz w:val="22"/>
          <w:szCs w:val="22"/>
        </w:rPr>
        <w:t xml:space="preserve">Audit rights for security and HIPAA compliance</w:t>
      </w:r>
    </w:p>
    <w:p>
      <w:pPr>
        <w:pStyle w:val="Heading2"/>
        <w:spacing w:after="160" w:before="320"/>
      </w:pPr>
      <w:r>
        <w:rPr>
          <w:rFonts w:ascii="Arial" w:cs="Arial" w:eastAsia="Arial" w:hAnsi="Arial"/>
          <w:b/>
          <w:bCs/>
          <w:color w:val="1B3A5C"/>
          <w:sz w:val="28"/>
          <w:szCs w:val="28"/>
        </w:rPr>
        <w:t xml:space="preserve">Negotiation 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D6EEEE"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Be friendly but transactional</w:t>
            </w:r>
          </w:p>
          <w:p>
            <w:r>
              <w:rPr>
                <w:rFonts w:ascii="Arial" w:cs="Arial" w:eastAsia="Arial" w:hAnsi="Arial"/>
                <w:color w:val="2C2C2C"/>
                <w:sz w:val="22"/>
                <w:szCs w:val="22"/>
              </w:rPr>
              <w:t xml:space="preserve">Jessica Bader's job is to expand your account. She is not your friend, she is not your advocate inside Zenoti. She is a sales professional doing her job. Be warm in tone but specific in asks. Get every commitment in writing. Don't accept 'we'll see what we can do' — push for specific deliverables, dates, and costs.</w:t>
            </w:r>
          </w:p>
        </w:tc>
      </w:tr>
    </w:tbl>
    <w:p>
      <w:r>
        <w:br w:type="page"/>
      </w:r>
    </w:p>
    <w:p>
      <w:pPr>
        <w:pStyle w:val="Heading1"/>
        <w:spacing w:after="200" w:before="400"/>
      </w:pPr>
      <w:r>
        <w:rPr>
          <w:rFonts w:ascii="Arial" w:cs="Arial" w:eastAsia="Arial" w:hAnsi="Arial"/>
          <w:b/>
          <w:bCs/>
          <w:color w:val="1B3A5C"/>
          <w:sz w:val="36"/>
          <w:szCs w:val="36"/>
        </w:rPr>
        <w:t xml:space="preserve">6. Escalation Path</w:t>
      </w:r>
    </w:p>
    <w:p>
      <w:pPr>
        <w:pStyle w:val="Heading2"/>
        <w:spacing w:after="160" w:before="320"/>
      </w:pPr>
      <w:r>
        <w:rPr>
          <w:rFonts w:ascii="Arial" w:cs="Arial" w:eastAsia="Arial" w:hAnsi="Arial"/>
          <w:b/>
          <w:bCs/>
          <w:color w:val="1B3A5C"/>
          <w:sz w:val="28"/>
          <w:szCs w:val="28"/>
        </w:rPr>
        <w:t xml:space="preserve">When Things Go Wrong</w:t>
      </w:r>
    </w:p>
    <w:p>
      <w:pPr>
        <w:pStyle w:val="Heading3"/>
        <w:spacing w:after="120" w:before="240"/>
      </w:pPr>
      <w:r>
        <w:rPr>
          <w:rFonts w:ascii="Arial" w:cs="Arial" w:eastAsia="Arial" w:hAnsi="Arial"/>
          <w:b/>
          <w:bCs/>
          <w:color w:val="2E8B8B"/>
          <w:sz w:val="24"/>
          <w:szCs w:val="24"/>
        </w:rPr>
        <w:t xml:space="preserve">Level 1: Standard Support Ticket</w:t>
      </w:r>
    </w:p>
    <w:p>
      <w:pPr>
        <w:pStyle w:val="ListParagraph"/>
        <w:numPr>
          <w:ilvl w:val="0"/>
          <w:numId w:val="2"/>
        </w:numPr>
        <w:spacing w:after="80" w:line="280"/>
      </w:pPr>
      <w:r>
        <w:rPr>
          <w:rFonts w:ascii="Arial" w:cs="Arial" w:eastAsia="Arial" w:hAnsi="Arial"/>
          <w:color w:val="2C2C2C"/>
          <w:sz w:val="22"/>
          <w:szCs w:val="22"/>
        </w:rPr>
        <w:t xml:space="preserve">Submit via Zenoti support portal</w:t>
      </w:r>
    </w:p>
    <w:p>
      <w:pPr>
        <w:pStyle w:val="ListParagraph"/>
        <w:numPr>
          <w:ilvl w:val="0"/>
          <w:numId w:val="2"/>
        </w:numPr>
        <w:spacing w:after="80" w:line="280"/>
      </w:pPr>
      <w:r>
        <w:rPr>
          <w:rFonts w:ascii="Arial" w:cs="Arial" w:eastAsia="Arial" w:hAnsi="Arial"/>
          <w:color w:val="2C2C2C"/>
          <w:sz w:val="22"/>
          <w:szCs w:val="22"/>
        </w:rPr>
        <w:t xml:space="preserve">Response time: not contractually defined</w:t>
      </w:r>
    </w:p>
    <w:p>
      <w:pPr>
        <w:pStyle w:val="ListParagraph"/>
        <w:numPr>
          <w:ilvl w:val="0"/>
          <w:numId w:val="2"/>
        </w:numPr>
        <w:spacing w:after="80" w:line="280"/>
      </w:pPr>
      <w:r>
        <w:rPr>
          <w:rFonts w:ascii="Arial" w:cs="Arial" w:eastAsia="Arial" w:hAnsi="Arial"/>
          <w:color w:val="2C2C2C"/>
          <w:sz w:val="22"/>
          <w:szCs w:val="22"/>
        </w:rPr>
        <w:t xml:space="preserve">Use for: bugs, configuration questions, how-to issues</w:t>
      </w:r>
    </w:p>
    <w:p>
      <w:pPr>
        <w:pStyle w:val="ListParagraph"/>
        <w:numPr>
          <w:ilvl w:val="0"/>
          <w:numId w:val="2"/>
        </w:numPr>
        <w:spacing w:after="80" w:line="280"/>
      </w:pPr>
      <w:r>
        <w:rPr>
          <w:rFonts w:ascii="Arial" w:cs="Arial" w:eastAsia="Arial" w:hAnsi="Arial"/>
          <w:color w:val="2C2C2C"/>
          <w:sz w:val="22"/>
          <w:szCs w:val="22"/>
        </w:rPr>
        <w:t xml:space="preserve">If no response in 48 hours: escalate to Level 2</w:t>
      </w:r>
    </w:p>
    <w:p>
      <w:pPr>
        <w:pStyle w:val="Heading3"/>
        <w:spacing w:after="120" w:before="240"/>
      </w:pPr>
      <w:r>
        <w:rPr>
          <w:rFonts w:ascii="Arial" w:cs="Arial" w:eastAsia="Arial" w:hAnsi="Arial"/>
          <w:b/>
          <w:bCs/>
          <w:color w:val="2E8B8B"/>
          <w:sz w:val="24"/>
          <w:szCs w:val="24"/>
        </w:rPr>
        <w:t xml:space="preserve">Level 2: Email Jessica Bader</w:t>
      </w:r>
    </w:p>
    <w:p>
      <w:pPr>
        <w:pStyle w:val="ListParagraph"/>
        <w:numPr>
          <w:ilvl w:val="0"/>
          <w:numId w:val="2"/>
        </w:numPr>
        <w:spacing w:after="80" w:line="280"/>
      </w:pPr>
      <w:r>
        <w:rPr>
          <w:rFonts w:ascii="Arial" w:cs="Arial" w:eastAsia="Arial" w:hAnsi="Arial"/>
          <w:color w:val="2C2C2C"/>
          <w:sz w:val="22"/>
          <w:szCs w:val="22"/>
        </w:rPr>
        <w:t xml:space="preserve">Direct email to jessicab@zenoti.com</w:t>
      </w:r>
    </w:p>
    <w:p>
      <w:pPr>
        <w:pStyle w:val="ListParagraph"/>
        <w:numPr>
          <w:ilvl w:val="0"/>
          <w:numId w:val="2"/>
        </w:numPr>
        <w:spacing w:after="80" w:line="280"/>
      </w:pPr>
      <w:r>
        <w:rPr>
          <w:rFonts w:ascii="Arial" w:cs="Arial" w:eastAsia="Arial" w:hAnsi="Arial"/>
          <w:color w:val="2C2C2C"/>
          <w:sz w:val="22"/>
          <w:szCs w:val="22"/>
        </w:rPr>
        <w:t xml:space="preserve">Subject line: include severity (Urgent / High / Medium)</w:t>
      </w:r>
    </w:p>
    <w:p>
      <w:pPr>
        <w:pStyle w:val="ListParagraph"/>
        <w:numPr>
          <w:ilvl w:val="0"/>
          <w:numId w:val="2"/>
        </w:numPr>
        <w:spacing w:after="80" w:line="280"/>
      </w:pPr>
      <w:r>
        <w:rPr>
          <w:rFonts w:ascii="Arial" w:cs="Arial" w:eastAsia="Arial" w:hAnsi="Arial"/>
          <w:color w:val="2C2C2C"/>
          <w:sz w:val="22"/>
          <w:szCs w:val="22"/>
        </w:rPr>
        <w:t xml:space="preserve">Use for: stalled tickets, account questions, escalation requests</w:t>
      </w:r>
    </w:p>
    <w:p>
      <w:pPr>
        <w:pStyle w:val="ListParagraph"/>
        <w:numPr>
          <w:ilvl w:val="0"/>
          <w:numId w:val="2"/>
        </w:numPr>
        <w:spacing w:after="80" w:line="280"/>
      </w:pPr>
      <w:r>
        <w:rPr>
          <w:rFonts w:ascii="Arial" w:cs="Arial" w:eastAsia="Arial" w:hAnsi="Arial"/>
          <w:color w:val="2C2C2C"/>
          <w:sz w:val="22"/>
          <w:szCs w:val="22"/>
        </w:rPr>
        <w:t xml:space="preserve">If no satisfactory response in 5 business days: escalate to Level 3</w:t>
      </w:r>
    </w:p>
    <w:p>
      <w:pPr>
        <w:pStyle w:val="Heading3"/>
        <w:spacing w:after="120" w:before="240"/>
      </w:pPr>
      <w:r>
        <w:rPr>
          <w:rFonts w:ascii="Arial" w:cs="Arial" w:eastAsia="Arial" w:hAnsi="Arial"/>
          <w:b/>
          <w:bCs/>
          <w:color w:val="2E8B8B"/>
          <w:sz w:val="24"/>
          <w:szCs w:val="24"/>
        </w:rPr>
        <w:t xml:space="preserve">Level 3: Request Jessica's Manager</w:t>
      </w:r>
    </w:p>
    <w:p>
      <w:pPr>
        <w:pStyle w:val="ListParagraph"/>
        <w:numPr>
          <w:ilvl w:val="0"/>
          <w:numId w:val="2"/>
        </w:numPr>
        <w:spacing w:after="80" w:line="280"/>
      </w:pPr>
      <w:r>
        <w:rPr>
          <w:rFonts w:ascii="Arial" w:cs="Arial" w:eastAsia="Arial" w:hAnsi="Arial"/>
          <w:color w:val="2C2C2C"/>
          <w:sz w:val="22"/>
          <w:szCs w:val="22"/>
        </w:rPr>
        <w:t xml:space="preserve">Email Jessica: "I'd like to escalate this to your manager. Can you connect us this week?"</w:t>
      </w:r>
    </w:p>
    <w:p>
      <w:pPr>
        <w:pStyle w:val="ListParagraph"/>
        <w:numPr>
          <w:ilvl w:val="0"/>
          <w:numId w:val="2"/>
        </w:numPr>
        <w:spacing w:after="80" w:line="280"/>
      </w:pPr>
      <w:r>
        <w:rPr>
          <w:rFonts w:ascii="Arial" w:cs="Arial" w:eastAsia="Arial" w:hAnsi="Arial"/>
          <w:color w:val="2C2C2C"/>
          <w:sz w:val="22"/>
          <w:szCs w:val="22"/>
        </w:rPr>
        <w:t xml:space="preserve">Use for: pattern of unresponsiveness, account-level issues, dissatisfaction with implementation</w:t>
      </w:r>
    </w:p>
    <w:p>
      <w:pPr>
        <w:pStyle w:val="ListParagraph"/>
        <w:numPr>
          <w:ilvl w:val="0"/>
          <w:numId w:val="2"/>
        </w:numPr>
        <w:spacing w:after="80" w:line="280"/>
      </w:pPr>
      <w:r>
        <w:rPr>
          <w:rFonts w:ascii="Arial" w:cs="Arial" w:eastAsia="Arial" w:hAnsi="Arial"/>
          <w:color w:val="2C2C2C"/>
          <w:sz w:val="22"/>
          <w:szCs w:val="22"/>
        </w:rPr>
        <w:t xml:space="preserve">Reasonable to make this request — sales orgs expect escalations</w:t>
      </w:r>
    </w:p>
    <w:p>
      <w:pPr>
        <w:pStyle w:val="ListParagraph"/>
        <w:numPr>
          <w:ilvl w:val="0"/>
          <w:numId w:val="2"/>
        </w:numPr>
        <w:spacing w:after="80" w:line="280"/>
      </w:pPr>
      <w:r>
        <w:rPr>
          <w:rFonts w:ascii="Arial" w:cs="Arial" w:eastAsia="Arial" w:hAnsi="Arial"/>
          <w:color w:val="2C2C2C"/>
          <w:sz w:val="22"/>
          <w:szCs w:val="22"/>
        </w:rPr>
        <w:t xml:space="preserve">If still unsatisfied: escalate to Level 4</w:t>
      </w:r>
    </w:p>
    <w:p>
      <w:pPr>
        <w:pStyle w:val="Heading3"/>
        <w:spacing w:after="120" w:before="240"/>
      </w:pPr>
      <w:r>
        <w:rPr>
          <w:rFonts w:ascii="Arial" w:cs="Arial" w:eastAsia="Arial" w:hAnsi="Arial"/>
          <w:b/>
          <w:bCs/>
          <w:color w:val="2E8B8B"/>
          <w:sz w:val="24"/>
          <w:szCs w:val="24"/>
        </w:rPr>
        <w:t xml:space="preserve">Level 4: Legal Department for Contract Issues</w:t>
      </w:r>
    </w:p>
    <w:p>
      <w:pPr>
        <w:pStyle w:val="ListParagraph"/>
        <w:numPr>
          <w:ilvl w:val="0"/>
          <w:numId w:val="2"/>
        </w:numPr>
        <w:spacing w:after="80" w:line="280"/>
      </w:pPr>
      <w:r>
        <w:rPr>
          <w:rFonts w:ascii="Arial" w:cs="Arial" w:eastAsia="Arial" w:hAnsi="Arial"/>
          <w:color w:val="2C2C2C"/>
          <w:sz w:val="22"/>
          <w:szCs w:val="22"/>
        </w:rPr>
        <w:t xml:space="preserve">Email legal@zenoti.com</w:t>
      </w:r>
    </w:p>
    <w:p>
      <w:pPr>
        <w:pStyle w:val="ListParagraph"/>
        <w:numPr>
          <w:ilvl w:val="0"/>
          <w:numId w:val="2"/>
        </w:numPr>
        <w:spacing w:after="80" w:line="280"/>
      </w:pPr>
      <w:r>
        <w:rPr>
          <w:rFonts w:ascii="Arial" w:cs="Arial" w:eastAsia="Arial" w:hAnsi="Arial"/>
          <w:color w:val="2C2C2C"/>
          <w:sz w:val="22"/>
          <w:szCs w:val="22"/>
        </w:rPr>
        <w:t xml:space="preserve">Use ONLY for: BAA breaches, contract interpretation disputes, suspected non-compliance with their obligations</w:t>
      </w:r>
    </w:p>
    <w:p>
      <w:pPr>
        <w:pStyle w:val="ListParagraph"/>
        <w:numPr>
          <w:ilvl w:val="0"/>
          <w:numId w:val="2"/>
        </w:numPr>
        <w:spacing w:after="80" w:line="280"/>
      </w:pPr>
      <w:r>
        <w:rPr>
          <w:rFonts w:ascii="Arial" w:cs="Arial" w:eastAsia="Arial" w:hAnsi="Arial"/>
          <w:color w:val="2C2C2C"/>
          <w:sz w:val="22"/>
          <w:szCs w:val="22"/>
        </w:rPr>
        <w:t xml:space="preserve">Always cc your own counsel if possible</w:t>
      </w:r>
    </w:p>
    <w:p>
      <w:pPr>
        <w:pStyle w:val="ListParagraph"/>
        <w:numPr>
          <w:ilvl w:val="0"/>
          <w:numId w:val="2"/>
        </w:numPr>
        <w:spacing w:after="80" w:line="280"/>
      </w:pPr>
      <w:r>
        <w:rPr>
          <w:rFonts w:ascii="Arial" w:cs="Arial" w:eastAsia="Arial" w:hAnsi="Arial"/>
          <w:color w:val="2C2C2C"/>
          <w:sz w:val="22"/>
          <w:szCs w:val="22"/>
        </w:rPr>
        <w:t xml:space="preserve">Document everything — this becomes your record if you ever need to terminate for cause</w:t>
      </w:r>
    </w:p>
    <w:p>
      <w:pPr>
        <w:pStyle w:val="Heading3"/>
        <w:spacing w:after="120" w:before="240"/>
      </w:pPr>
      <w:r>
        <w:rPr>
          <w:rFonts w:ascii="Arial" w:cs="Arial" w:eastAsia="Arial" w:hAnsi="Arial"/>
          <w:b/>
          <w:bCs/>
          <w:color w:val="2E8B8B"/>
          <w:sz w:val="24"/>
          <w:szCs w:val="24"/>
        </w:rPr>
        <w:t xml:space="preserve">Level 5: Termination for Cause</w:t>
      </w:r>
    </w:p>
    <w:p>
      <w:pPr>
        <w:pStyle w:val="ListParagraph"/>
        <w:numPr>
          <w:ilvl w:val="0"/>
          <w:numId w:val="2"/>
        </w:numPr>
        <w:spacing w:after="80" w:line="280"/>
      </w:pPr>
      <w:r>
        <w:rPr>
          <w:rFonts w:ascii="Arial" w:cs="Arial" w:eastAsia="Arial" w:hAnsi="Arial"/>
          <w:color w:val="2C2C2C"/>
          <w:sz w:val="22"/>
          <w:szCs w:val="22"/>
        </w:rPr>
        <w:t xml:space="preserve">Per T&amp;Cs Section 13.2(b): material breach, written notice, 30 days to cure</w:t>
      </w:r>
    </w:p>
    <w:p>
      <w:pPr>
        <w:pStyle w:val="ListParagraph"/>
        <w:numPr>
          <w:ilvl w:val="0"/>
          <w:numId w:val="2"/>
        </w:numPr>
        <w:spacing w:after="80" w:line="280"/>
      </w:pPr>
      <w:r>
        <w:rPr>
          <w:rFonts w:ascii="Arial" w:cs="Arial" w:eastAsia="Arial" w:hAnsi="Arial"/>
          <w:color w:val="2C2C2C"/>
          <w:sz w:val="22"/>
          <w:szCs w:val="22"/>
        </w:rPr>
        <w:t xml:space="preserve">If they don't cure: termination effective immediately</w:t>
      </w:r>
    </w:p>
    <w:p>
      <w:pPr>
        <w:pStyle w:val="ListParagraph"/>
        <w:numPr>
          <w:ilvl w:val="0"/>
          <w:numId w:val="2"/>
        </w:numPr>
        <w:spacing w:after="80" w:line="280"/>
      </w:pPr>
      <w:r>
        <w:rPr>
          <w:rFonts w:ascii="Arial" w:cs="Arial" w:eastAsia="Arial" w:hAnsi="Arial"/>
          <w:color w:val="2C2C2C"/>
          <w:sz w:val="22"/>
          <w:szCs w:val="22"/>
        </w:rPr>
        <w:t xml:space="preserve">CRITICAL: trigger data export request within 7 days of termination notice (you only have 30 days total)</w:t>
      </w:r>
    </w:p>
    <w:p>
      <w:pPr>
        <w:pStyle w:val="ListParagraph"/>
        <w:numPr>
          <w:ilvl w:val="0"/>
          <w:numId w:val="2"/>
        </w:numPr>
        <w:spacing w:after="80" w:line="280"/>
      </w:pPr>
      <w:r>
        <w:rPr>
          <w:rFonts w:ascii="Arial" w:cs="Arial" w:eastAsia="Arial" w:hAnsi="Arial"/>
          <w:color w:val="2C2C2C"/>
          <w:sz w:val="22"/>
          <w:szCs w:val="22"/>
        </w:rPr>
        <w:t xml:space="preserve">Don't do this without your malpractice attorney's input</w:t>
      </w:r>
    </w:p>
    <w:p>
      <w:pPr>
        <w:pStyle w:val="Heading2"/>
        <w:spacing w:after="160" w:before="320"/>
      </w:pPr>
      <w:r>
        <w:rPr>
          <w:rFonts w:ascii="Arial" w:cs="Arial" w:eastAsia="Arial" w:hAnsi="Arial"/>
          <w:b/>
          <w:bCs/>
          <w:color w:val="1B3A5C"/>
          <w:sz w:val="28"/>
          <w:szCs w:val="28"/>
        </w:rPr>
        <w:t xml:space="preserve">What to Document</w:t>
      </w:r>
    </w:p>
    <w:p>
      <w:pPr>
        <w:pStyle w:val="ListParagraph"/>
        <w:numPr>
          <w:ilvl w:val="0"/>
          <w:numId w:val="2"/>
        </w:numPr>
        <w:spacing w:after="80" w:line="280"/>
      </w:pPr>
      <w:r>
        <w:rPr>
          <w:rFonts w:ascii="Arial" w:cs="Arial" w:eastAsia="Arial" w:hAnsi="Arial"/>
          <w:color w:val="2C2C2C"/>
          <w:sz w:val="22"/>
          <w:szCs w:val="22"/>
        </w:rPr>
        <w:t xml:space="preserve">Every commitment made by Zenoti in writing (email confirmation immediately after any verbal promise)</w:t>
      </w:r>
    </w:p>
    <w:p>
      <w:pPr>
        <w:pStyle w:val="ListParagraph"/>
        <w:numPr>
          <w:ilvl w:val="0"/>
          <w:numId w:val="2"/>
        </w:numPr>
        <w:spacing w:after="80" w:line="280"/>
      </w:pPr>
      <w:r>
        <w:rPr>
          <w:rFonts w:ascii="Arial" w:cs="Arial" w:eastAsia="Arial" w:hAnsi="Arial"/>
          <w:color w:val="2C2C2C"/>
          <w:sz w:val="22"/>
          <w:szCs w:val="22"/>
        </w:rPr>
        <w:t xml:space="preserve">Every support ticket: date opened, date resolved, satisfactory or not</w:t>
      </w:r>
    </w:p>
    <w:p>
      <w:pPr>
        <w:pStyle w:val="ListParagraph"/>
        <w:numPr>
          <w:ilvl w:val="0"/>
          <w:numId w:val="2"/>
        </w:numPr>
        <w:spacing w:after="80" w:line="280"/>
      </w:pPr>
      <w:r>
        <w:rPr>
          <w:rFonts w:ascii="Arial" w:cs="Arial" w:eastAsia="Arial" w:hAnsi="Arial"/>
          <w:color w:val="2C2C2C"/>
          <w:sz w:val="22"/>
          <w:szCs w:val="22"/>
        </w:rPr>
        <w:t xml:space="preserve">Every outage you experience (timestamp, duration, business impact)</w:t>
      </w:r>
    </w:p>
    <w:p>
      <w:pPr>
        <w:pStyle w:val="ListParagraph"/>
        <w:numPr>
          <w:ilvl w:val="0"/>
          <w:numId w:val="2"/>
        </w:numPr>
        <w:spacing w:after="80" w:line="280"/>
      </w:pPr>
      <w:r>
        <w:rPr>
          <w:rFonts w:ascii="Arial" w:cs="Arial" w:eastAsia="Arial" w:hAnsi="Arial"/>
          <w:color w:val="2C2C2C"/>
          <w:sz w:val="22"/>
          <w:szCs w:val="22"/>
        </w:rPr>
        <w:t xml:space="preserve">Every pricing discussion (what was offered, what was agreed)</w:t>
      </w:r>
    </w:p>
    <w:p>
      <w:pPr>
        <w:pStyle w:val="ListParagraph"/>
        <w:numPr>
          <w:ilvl w:val="0"/>
          <w:numId w:val="2"/>
        </w:numPr>
        <w:spacing w:after="80" w:line="280"/>
      </w:pPr>
      <w:r>
        <w:rPr>
          <w:rFonts w:ascii="Arial" w:cs="Arial" w:eastAsia="Arial" w:hAnsi="Arial"/>
          <w:color w:val="2C2C2C"/>
          <w:sz w:val="22"/>
          <w:szCs w:val="22"/>
        </w:rPr>
        <w:t xml:space="preserve">Every feature change that affects your workflow</w:t>
      </w:r>
    </w:p>
    <w:p>
      <w:r>
        <w:br w:type="page"/>
      </w:r>
    </w:p>
    <w:p>
      <w:pPr>
        <w:pStyle w:val="Heading1"/>
        <w:spacing w:after="200" w:before="400"/>
      </w:pPr>
      <w:r>
        <w:rPr>
          <w:rFonts w:ascii="Arial" w:cs="Arial" w:eastAsia="Arial" w:hAnsi="Arial"/>
          <w:b/>
          <w:bCs/>
          <w:color w:val="1B3A5C"/>
          <w:sz w:val="36"/>
          <w:szCs w:val="36"/>
        </w:rPr>
        <w:t xml:space="preserve">7. Questions to Ask in Every Major Conversation</w:t>
      </w:r>
    </w:p>
    <w:p>
      <w:pPr>
        <w:pStyle w:val="Heading2"/>
        <w:spacing w:after="160" w:before="320"/>
      </w:pPr>
      <w:r>
        <w:rPr>
          <w:rFonts w:ascii="Arial" w:cs="Arial" w:eastAsia="Arial" w:hAnsi="Arial"/>
          <w:b/>
          <w:bCs/>
          <w:color w:val="1B3A5C"/>
          <w:sz w:val="28"/>
          <w:szCs w:val="28"/>
        </w:rPr>
        <w:t xml:space="preserve">When They Propose an Upgrade or Add-On</w:t>
      </w:r>
    </w:p>
    <w:p>
      <w:pPr>
        <w:pStyle w:val="ListParagraph"/>
        <w:numPr>
          <w:ilvl w:val="0"/>
          <w:numId w:val="2"/>
        </w:numPr>
        <w:spacing w:after="80" w:line="280"/>
      </w:pPr>
      <w:r>
        <w:rPr>
          <w:rFonts w:ascii="Arial" w:cs="Arial" w:eastAsia="Arial" w:hAnsi="Arial"/>
          <w:color w:val="2C2C2C"/>
          <w:sz w:val="22"/>
          <w:szCs w:val="22"/>
        </w:rPr>
        <w:t xml:space="preserve">What specifically does this give us that we don't have today?</w:t>
      </w:r>
    </w:p>
    <w:p>
      <w:pPr>
        <w:pStyle w:val="ListParagraph"/>
        <w:numPr>
          <w:ilvl w:val="0"/>
          <w:numId w:val="2"/>
        </w:numPr>
        <w:spacing w:after="80" w:line="280"/>
      </w:pPr>
      <w:r>
        <w:rPr>
          <w:rFonts w:ascii="Arial" w:cs="Arial" w:eastAsia="Arial" w:hAnsi="Arial"/>
          <w:color w:val="2C2C2C"/>
          <w:sz w:val="22"/>
          <w:szCs w:val="22"/>
        </w:rPr>
        <w:t xml:space="preserve">What problem does this solve for our actual operation?</w:t>
      </w:r>
    </w:p>
    <w:p>
      <w:pPr>
        <w:pStyle w:val="ListParagraph"/>
        <w:numPr>
          <w:ilvl w:val="0"/>
          <w:numId w:val="2"/>
        </w:numPr>
        <w:spacing w:after="80" w:line="280"/>
      </w:pPr>
      <w:r>
        <w:rPr>
          <w:rFonts w:ascii="Arial" w:cs="Arial" w:eastAsia="Arial" w:hAnsi="Arial"/>
          <w:color w:val="2C2C2C"/>
          <w:sz w:val="22"/>
          <w:szCs w:val="22"/>
        </w:rPr>
        <w:t xml:space="preserve">What's the all-in monthly cost including any required add-ons?</w:t>
      </w:r>
    </w:p>
    <w:p>
      <w:pPr>
        <w:pStyle w:val="ListParagraph"/>
        <w:numPr>
          <w:ilvl w:val="0"/>
          <w:numId w:val="2"/>
        </w:numPr>
        <w:spacing w:after="80" w:line="280"/>
      </w:pPr>
      <w:r>
        <w:rPr>
          <w:rFonts w:ascii="Arial" w:cs="Arial" w:eastAsia="Arial" w:hAnsi="Arial"/>
          <w:color w:val="2C2C2C"/>
          <w:sz w:val="22"/>
          <w:szCs w:val="22"/>
        </w:rPr>
        <w:t xml:space="preserve">Can we trial it for 30 days before committing?</w:t>
      </w:r>
    </w:p>
    <w:p>
      <w:pPr>
        <w:pStyle w:val="ListParagraph"/>
        <w:numPr>
          <w:ilvl w:val="0"/>
          <w:numId w:val="2"/>
        </w:numPr>
        <w:spacing w:after="80" w:line="280"/>
      </w:pPr>
      <w:r>
        <w:rPr>
          <w:rFonts w:ascii="Arial" w:cs="Arial" w:eastAsia="Arial" w:hAnsi="Arial"/>
          <w:color w:val="2C2C2C"/>
          <w:sz w:val="22"/>
          <w:szCs w:val="22"/>
        </w:rPr>
        <w:t xml:space="preserve">What's the cancellation provision if we don't keep it?</w:t>
      </w:r>
    </w:p>
    <w:p>
      <w:pPr>
        <w:pStyle w:val="ListParagraph"/>
        <w:numPr>
          <w:ilvl w:val="0"/>
          <w:numId w:val="2"/>
        </w:numPr>
        <w:spacing w:after="80" w:line="280"/>
      </w:pPr>
      <w:r>
        <w:rPr>
          <w:rFonts w:ascii="Arial" w:cs="Arial" w:eastAsia="Arial" w:hAnsi="Arial"/>
          <w:color w:val="2C2C2C"/>
          <w:sz w:val="22"/>
          <w:szCs w:val="22"/>
        </w:rPr>
        <w:t xml:space="preserve">If we add this, what concession do we get on existing fees or terms?</w:t>
      </w:r>
    </w:p>
    <w:p>
      <w:pPr>
        <w:pStyle w:val="Heading2"/>
        <w:spacing w:after="160" w:before="320"/>
      </w:pPr>
      <w:r>
        <w:rPr>
          <w:rFonts w:ascii="Arial" w:cs="Arial" w:eastAsia="Arial" w:hAnsi="Arial"/>
          <w:b/>
          <w:bCs/>
          <w:color w:val="1B3A5C"/>
          <w:sz w:val="28"/>
          <w:szCs w:val="28"/>
        </w:rPr>
        <w:t xml:space="preserve">When They Notify You of a Fee Increase</w:t>
      </w:r>
    </w:p>
    <w:p>
      <w:pPr>
        <w:pStyle w:val="ListParagraph"/>
        <w:numPr>
          <w:ilvl w:val="0"/>
          <w:numId w:val="2"/>
        </w:numPr>
        <w:spacing w:after="80" w:line="280"/>
      </w:pPr>
      <w:r>
        <w:rPr>
          <w:rFonts w:ascii="Arial" w:cs="Arial" w:eastAsia="Arial" w:hAnsi="Arial"/>
          <w:color w:val="2C2C2C"/>
          <w:sz w:val="22"/>
          <w:szCs w:val="22"/>
        </w:rPr>
        <w:t xml:space="preserve">What specifically justifies this increase?</w:t>
      </w:r>
    </w:p>
    <w:p>
      <w:pPr>
        <w:pStyle w:val="ListParagraph"/>
        <w:numPr>
          <w:ilvl w:val="0"/>
          <w:numId w:val="2"/>
        </w:numPr>
        <w:spacing w:after="80" w:line="280"/>
      </w:pPr>
      <w:r>
        <w:rPr>
          <w:rFonts w:ascii="Arial" w:cs="Arial" w:eastAsia="Arial" w:hAnsi="Arial"/>
          <w:color w:val="2C2C2C"/>
          <w:sz w:val="22"/>
          <w:szCs w:val="22"/>
        </w:rPr>
        <w:t xml:space="preserve">Are other customers in our tier seeing the same increase?</w:t>
      </w:r>
    </w:p>
    <w:p>
      <w:pPr>
        <w:pStyle w:val="ListParagraph"/>
        <w:numPr>
          <w:ilvl w:val="0"/>
          <w:numId w:val="2"/>
        </w:numPr>
        <w:spacing w:after="80" w:line="280"/>
      </w:pPr>
      <w:r>
        <w:rPr>
          <w:rFonts w:ascii="Arial" w:cs="Arial" w:eastAsia="Arial" w:hAnsi="Arial"/>
          <w:color w:val="2C2C2C"/>
          <w:sz w:val="22"/>
          <w:szCs w:val="22"/>
        </w:rPr>
        <w:t xml:space="preserve">Can you waive or reduce this if we commit to a longer term?</w:t>
      </w:r>
    </w:p>
    <w:p>
      <w:pPr>
        <w:pStyle w:val="ListParagraph"/>
        <w:numPr>
          <w:ilvl w:val="0"/>
          <w:numId w:val="2"/>
        </w:numPr>
        <w:spacing w:after="80" w:line="280"/>
      </w:pPr>
      <w:r>
        <w:rPr>
          <w:rFonts w:ascii="Arial" w:cs="Arial" w:eastAsia="Arial" w:hAnsi="Arial"/>
          <w:color w:val="2C2C2C"/>
          <w:sz w:val="22"/>
          <w:szCs w:val="22"/>
        </w:rPr>
        <w:t xml:space="preserve">What features are being added that justify the increase?</w:t>
      </w:r>
    </w:p>
    <w:p>
      <w:pPr>
        <w:pStyle w:val="ListParagraph"/>
        <w:numPr>
          <w:ilvl w:val="0"/>
          <w:numId w:val="2"/>
        </w:numPr>
        <w:spacing w:after="80" w:line="280"/>
      </w:pPr>
      <w:r>
        <w:rPr>
          <w:rFonts w:ascii="Arial" w:cs="Arial" w:eastAsia="Arial" w:hAnsi="Arial"/>
          <w:color w:val="2C2C2C"/>
          <w:sz w:val="22"/>
          <w:szCs w:val="22"/>
        </w:rPr>
        <w:t xml:space="preserve">If we don't accept, what are our options?</w:t>
      </w:r>
    </w:p>
    <w:p>
      <w:pPr>
        <w:pStyle w:val="Heading2"/>
        <w:spacing w:after="160" w:before="320"/>
      </w:pPr>
      <w:r>
        <w:rPr>
          <w:rFonts w:ascii="Arial" w:cs="Arial" w:eastAsia="Arial" w:hAnsi="Arial"/>
          <w:b/>
          <w:bCs/>
          <w:color w:val="1B3A5C"/>
          <w:sz w:val="28"/>
          <w:szCs w:val="28"/>
        </w:rPr>
        <w:t xml:space="preserve">When They Notify You of a Feature Change</w:t>
      </w:r>
    </w:p>
    <w:p>
      <w:pPr>
        <w:pStyle w:val="ListParagraph"/>
        <w:numPr>
          <w:ilvl w:val="0"/>
          <w:numId w:val="2"/>
        </w:numPr>
        <w:spacing w:after="80" w:line="280"/>
      </w:pPr>
      <w:r>
        <w:rPr>
          <w:rFonts w:ascii="Arial" w:cs="Arial" w:eastAsia="Arial" w:hAnsi="Arial"/>
          <w:color w:val="2C2C2C"/>
          <w:sz w:val="22"/>
          <w:szCs w:val="22"/>
        </w:rPr>
        <w:t xml:space="preserve">How does this affect our specific workflow?</w:t>
      </w:r>
    </w:p>
    <w:p>
      <w:pPr>
        <w:pStyle w:val="ListParagraph"/>
        <w:numPr>
          <w:ilvl w:val="0"/>
          <w:numId w:val="2"/>
        </w:numPr>
        <w:spacing w:after="80" w:line="280"/>
      </w:pPr>
      <w:r>
        <w:rPr>
          <w:rFonts w:ascii="Arial" w:cs="Arial" w:eastAsia="Arial" w:hAnsi="Arial"/>
          <w:color w:val="2C2C2C"/>
          <w:sz w:val="22"/>
          <w:szCs w:val="22"/>
        </w:rPr>
        <w:t xml:space="preserve">What migration path do you provide?</w:t>
      </w:r>
    </w:p>
    <w:p>
      <w:pPr>
        <w:pStyle w:val="ListParagraph"/>
        <w:numPr>
          <w:ilvl w:val="0"/>
          <w:numId w:val="2"/>
        </w:numPr>
        <w:spacing w:after="80" w:line="280"/>
      </w:pPr>
      <w:r>
        <w:rPr>
          <w:rFonts w:ascii="Arial" w:cs="Arial" w:eastAsia="Arial" w:hAnsi="Arial"/>
          <w:color w:val="2C2C2C"/>
          <w:sz w:val="22"/>
          <w:szCs w:val="22"/>
        </w:rPr>
        <w:t xml:space="preserve">Is the new feature included or does it cost more?</w:t>
      </w:r>
    </w:p>
    <w:p>
      <w:pPr>
        <w:pStyle w:val="ListParagraph"/>
        <w:numPr>
          <w:ilvl w:val="0"/>
          <w:numId w:val="2"/>
        </w:numPr>
        <w:spacing w:after="80" w:line="280"/>
      </w:pPr>
      <w:r>
        <w:rPr>
          <w:rFonts w:ascii="Arial" w:cs="Arial" w:eastAsia="Arial" w:hAnsi="Arial"/>
          <w:color w:val="2C2C2C"/>
          <w:sz w:val="22"/>
          <w:szCs w:val="22"/>
        </w:rPr>
        <w:t xml:space="preserve">If it doesn't work for us, can we keep using the old feature?</w:t>
      </w:r>
    </w:p>
    <w:p>
      <w:pPr>
        <w:pStyle w:val="ListParagraph"/>
        <w:numPr>
          <w:ilvl w:val="0"/>
          <w:numId w:val="2"/>
        </w:numPr>
        <w:spacing w:after="80" w:line="280"/>
      </w:pPr>
      <w:r>
        <w:rPr>
          <w:rFonts w:ascii="Arial" w:cs="Arial" w:eastAsia="Arial" w:hAnsi="Arial"/>
          <w:color w:val="2C2C2C"/>
          <w:sz w:val="22"/>
          <w:szCs w:val="22"/>
        </w:rPr>
        <w:t xml:space="preserve">What support do you provide for the transition?</w:t>
      </w:r>
    </w:p>
    <w:p>
      <w:pPr>
        <w:pStyle w:val="Heading2"/>
        <w:spacing w:after="160" w:before="320"/>
      </w:pPr>
      <w:r>
        <w:rPr>
          <w:rFonts w:ascii="Arial" w:cs="Arial" w:eastAsia="Arial" w:hAnsi="Arial"/>
          <w:b/>
          <w:bCs/>
          <w:color w:val="1B3A5C"/>
          <w:sz w:val="28"/>
          <w:szCs w:val="28"/>
        </w:rPr>
        <w:t xml:space="preserve">Annual Renewal Conversation</w:t>
      </w:r>
    </w:p>
    <w:p>
      <w:pPr>
        <w:pStyle w:val="ListParagraph"/>
        <w:numPr>
          <w:ilvl w:val="0"/>
          <w:numId w:val="2"/>
        </w:numPr>
        <w:spacing w:after="80" w:line="280"/>
      </w:pPr>
      <w:r>
        <w:rPr>
          <w:rFonts w:ascii="Arial" w:cs="Arial" w:eastAsia="Arial" w:hAnsi="Arial"/>
          <w:color w:val="2C2C2C"/>
          <w:sz w:val="22"/>
          <w:szCs w:val="22"/>
        </w:rPr>
        <w:t xml:space="preserve">What is the proposed renewal pricing?</w:t>
      </w:r>
    </w:p>
    <w:p>
      <w:pPr>
        <w:pStyle w:val="ListParagraph"/>
        <w:numPr>
          <w:ilvl w:val="0"/>
          <w:numId w:val="2"/>
        </w:numPr>
        <w:spacing w:after="80" w:line="280"/>
      </w:pPr>
      <w:r>
        <w:rPr>
          <w:rFonts w:ascii="Arial" w:cs="Arial" w:eastAsia="Arial" w:hAnsi="Arial"/>
          <w:color w:val="2C2C2C"/>
          <w:sz w:val="22"/>
          <w:szCs w:val="22"/>
        </w:rPr>
        <w:t xml:space="preserve">What new features have you added in the past year?</w:t>
      </w:r>
    </w:p>
    <w:p>
      <w:pPr>
        <w:pStyle w:val="ListParagraph"/>
        <w:numPr>
          <w:ilvl w:val="0"/>
          <w:numId w:val="2"/>
        </w:numPr>
        <w:spacing w:after="80" w:line="280"/>
      </w:pPr>
      <w:r>
        <w:rPr>
          <w:rFonts w:ascii="Arial" w:cs="Arial" w:eastAsia="Arial" w:hAnsi="Arial"/>
          <w:color w:val="2C2C2C"/>
          <w:sz w:val="22"/>
          <w:szCs w:val="22"/>
        </w:rPr>
        <w:t xml:space="preserve">What's our actual usage relative to our subscription limits?</w:t>
      </w:r>
    </w:p>
    <w:p>
      <w:pPr>
        <w:pStyle w:val="ListParagraph"/>
        <w:numPr>
          <w:ilvl w:val="0"/>
          <w:numId w:val="2"/>
        </w:numPr>
        <w:spacing w:after="80" w:line="280"/>
      </w:pPr>
      <w:r>
        <w:rPr>
          <w:rFonts w:ascii="Arial" w:cs="Arial" w:eastAsia="Arial" w:hAnsi="Arial"/>
          <w:color w:val="2C2C2C"/>
          <w:sz w:val="22"/>
          <w:szCs w:val="22"/>
        </w:rPr>
        <w:t xml:space="preserve">Are we using everything we're paying for, or could we downgrade?</w:t>
      </w:r>
    </w:p>
    <w:p>
      <w:pPr>
        <w:pStyle w:val="ListParagraph"/>
        <w:numPr>
          <w:ilvl w:val="0"/>
          <w:numId w:val="2"/>
        </w:numPr>
        <w:spacing w:after="80" w:line="280"/>
      </w:pPr>
      <w:r>
        <w:rPr>
          <w:rFonts w:ascii="Arial" w:cs="Arial" w:eastAsia="Arial" w:hAnsi="Arial"/>
          <w:color w:val="2C2C2C"/>
          <w:sz w:val="22"/>
          <w:szCs w:val="22"/>
        </w:rPr>
        <w:t xml:space="preserve">What concessions can you make to retain us for another year?</w:t>
      </w:r>
    </w:p>
    <w:p>
      <w:pPr>
        <w:pStyle w:val="ListParagraph"/>
        <w:numPr>
          <w:ilvl w:val="0"/>
          <w:numId w:val="2"/>
        </w:numPr>
        <w:spacing w:after="80" w:line="280"/>
      </w:pPr>
      <w:r>
        <w:rPr>
          <w:rFonts w:ascii="Arial" w:cs="Arial" w:eastAsia="Arial" w:hAnsi="Arial"/>
          <w:color w:val="2C2C2C"/>
          <w:sz w:val="22"/>
          <w:szCs w:val="22"/>
        </w:rPr>
        <w:t xml:space="preserve">Multi-year commitment in exchange for what discount?</w:t>
      </w:r>
    </w:p>
    <w:p>
      <w:r>
        <w:br w:type="page"/>
      </w:r>
    </w:p>
    <w:p>
      <w:pPr>
        <w:pStyle w:val="Heading1"/>
        <w:spacing w:after="200" w:before="400"/>
      </w:pPr>
      <w:r>
        <w:rPr>
          <w:rFonts w:ascii="Arial" w:cs="Arial" w:eastAsia="Arial" w:hAnsi="Arial"/>
          <w:b/>
          <w:bCs/>
          <w:color w:val="1B3A5C"/>
          <w:sz w:val="36"/>
          <w:szCs w:val="36"/>
        </w:rPr>
        <w:t xml:space="preserve">8. Red Flags to Watch For</w:t>
      </w:r>
    </w:p>
    <w:p>
      <w:pPr>
        <w:spacing w:after="100" w:before="0" w:line="280"/>
        <w:jc w:val="left"/>
      </w:pPr>
      <w:r>
        <w:rPr>
          <w:rFonts w:ascii="Arial" w:cs="Arial" w:eastAsia="Arial" w:hAnsi="Arial"/>
          <w:b w:val="false"/>
          <w:bCs w:val="false"/>
          <w:i w:val="false"/>
          <w:iCs w:val="false"/>
          <w:color w:val="2C2C2C"/>
          <w:sz w:val="22"/>
          <w:szCs w:val="22"/>
        </w:rPr>
        <w:t xml:space="preserve">These are signals that your relationship with Zenoti is heading toward problems. Address them early.</w:t>
      </w:r>
    </w:p>
    <w:p>
      <w:pPr>
        <w:pStyle w:val="Heading2"/>
        <w:spacing w:after="160" w:before="320"/>
      </w:pPr>
      <w:r>
        <w:rPr>
          <w:rFonts w:ascii="Arial" w:cs="Arial" w:eastAsia="Arial" w:hAnsi="Arial"/>
          <w:b/>
          <w:bCs/>
          <w:color w:val="1B3A5C"/>
          <w:sz w:val="28"/>
          <w:szCs w:val="28"/>
        </w:rPr>
        <w:t xml:space="preserve">Service Red Flags</w:t>
      </w:r>
    </w:p>
    <w:p>
      <w:pPr>
        <w:pStyle w:val="ListParagraph"/>
        <w:numPr>
          <w:ilvl w:val="0"/>
          <w:numId w:val="2"/>
        </w:numPr>
        <w:spacing w:after="80" w:line="280"/>
      </w:pPr>
      <w:r>
        <w:rPr>
          <w:rFonts w:ascii="Arial" w:cs="Arial" w:eastAsia="Arial" w:hAnsi="Arial"/>
          <w:color w:val="2C2C2C"/>
          <w:sz w:val="22"/>
          <w:szCs w:val="22"/>
        </w:rPr>
        <w:t xml:space="preserve">Support tickets sitting open more than 5 business days without acknowledgment</w:t>
      </w:r>
    </w:p>
    <w:p>
      <w:pPr>
        <w:pStyle w:val="ListParagraph"/>
        <w:numPr>
          <w:ilvl w:val="0"/>
          <w:numId w:val="2"/>
        </w:numPr>
        <w:spacing w:after="80" w:line="280"/>
      </w:pPr>
      <w:r>
        <w:rPr>
          <w:rFonts w:ascii="Arial" w:cs="Arial" w:eastAsia="Arial" w:hAnsi="Arial"/>
          <w:color w:val="2C2C2C"/>
          <w:sz w:val="22"/>
          <w:szCs w:val="22"/>
        </w:rPr>
        <w:t xml:space="preserve">Multiple unscheduled outages in a single month</w:t>
      </w:r>
    </w:p>
    <w:p>
      <w:pPr>
        <w:pStyle w:val="ListParagraph"/>
        <w:numPr>
          <w:ilvl w:val="0"/>
          <w:numId w:val="2"/>
        </w:numPr>
        <w:spacing w:after="80" w:line="280"/>
      </w:pPr>
      <w:r>
        <w:rPr>
          <w:rFonts w:ascii="Arial" w:cs="Arial" w:eastAsia="Arial" w:hAnsi="Arial"/>
          <w:color w:val="2C2C2C"/>
          <w:sz w:val="22"/>
          <w:szCs w:val="22"/>
        </w:rPr>
        <w:t xml:space="preserve">Features removed or significantly changed without advance notice</w:t>
      </w:r>
    </w:p>
    <w:p>
      <w:pPr>
        <w:pStyle w:val="ListParagraph"/>
        <w:numPr>
          <w:ilvl w:val="0"/>
          <w:numId w:val="2"/>
        </w:numPr>
        <w:spacing w:after="80" w:line="280"/>
      </w:pPr>
      <w:r>
        <w:rPr>
          <w:rFonts w:ascii="Arial" w:cs="Arial" w:eastAsia="Arial" w:hAnsi="Arial"/>
          <w:color w:val="2C2C2C"/>
          <w:sz w:val="22"/>
          <w:szCs w:val="22"/>
        </w:rPr>
        <w:t xml:space="preserve">Persistent bugs in functionality you depend on</w:t>
      </w:r>
    </w:p>
    <w:p>
      <w:pPr>
        <w:pStyle w:val="ListParagraph"/>
        <w:numPr>
          <w:ilvl w:val="0"/>
          <w:numId w:val="2"/>
        </w:numPr>
        <w:spacing w:after="80" w:line="280"/>
      </w:pPr>
      <w:r>
        <w:rPr>
          <w:rFonts w:ascii="Arial" w:cs="Arial" w:eastAsia="Arial" w:hAnsi="Arial"/>
          <w:color w:val="2C2C2C"/>
          <w:sz w:val="22"/>
          <w:szCs w:val="22"/>
        </w:rPr>
        <w:t xml:space="preserve">Difficulty getting clear answers to specific configuration questions</w:t>
      </w:r>
    </w:p>
    <w:p>
      <w:pPr>
        <w:pStyle w:val="Heading2"/>
        <w:spacing w:after="160" w:before="320"/>
      </w:pPr>
      <w:r>
        <w:rPr>
          <w:rFonts w:ascii="Arial" w:cs="Arial" w:eastAsia="Arial" w:hAnsi="Arial"/>
          <w:b/>
          <w:bCs/>
          <w:color w:val="1B3A5C"/>
          <w:sz w:val="28"/>
          <w:szCs w:val="28"/>
        </w:rPr>
        <w:t xml:space="preserve">Account Management Red Flags</w:t>
      </w:r>
    </w:p>
    <w:p>
      <w:pPr>
        <w:pStyle w:val="ListParagraph"/>
        <w:numPr>
          <w:ilvl w:val="0"/>
          <w:numId w:val="2"/>
        </w:numPr>
        <w:spacing w:after="80" w:line="280"/>
      </w:pPr>
      <w:r>
        <w:rPr>
          <w:rFonts w:ascii="Arial" w:cs="Arial" w:eastAsia="Arial" w:hAnsi="Arial"/>
          <w:color w:val="2C2C2C"/>
          <w:sz w:val="22"/>
          <w:szCs w:val="22"/>
        </w:rPr>
        <w:t xml:space="preserve">Jessica unresponsive for more than a week</w:t>
      </w:r>
    </w:p>
    <w:p>
      <w:pPr>
        <w:pStyle w:val="ListParagraph"/>
        <w:numPr>
          <w:ilvl w:val="0"/>
          <w:numId w:val="2"/>
        </w:numPr>
        <w:spacing w:after="80" w:line="280"/>
      </w:pPr>
      <w:r>
        <w:rPr>
          <w:rFonts w:ascii="Arial" w:cs="Arial" w:eastAsia="Arial" w:hAnsi="Arial"/>
          <w:color w:val="2C2C2C"/>
          <w:sz w:val="22"/>
          <w:szCs w:val="22"/>
        </w:rPr>
        <w:t xml:space="preserve">Different answers from different Zenoti contacts on the same question</w:t>
      </w:r>
    </w:p>
    <w:p>
      <w:pPr>
        <w:pStyle w:val="ListParagraph"/>
        <w:numPr>
          <w:ilvl w:val="0"/>
          <w:numId w:val="2"/>
        </w:numPr>
        <w:spacing w:after="80" w:line="280"/>
      </w:pPr>
      <w:r>
        <w:rPr>
          <w:rFonts w:ascii="Arial" w:cs="Arial" w:eastAsia="Arial" w:hAnsi="Arial"/>
          <w:color w:val="2C2C2C"/>
          <w:sz w:val="22"/>
          <w:szCs w:val="22"/>
        </w:rPr>
        <w:t xml:space="preserve">Verbal commitments not followed by written confirmation</w:t>
      </w:r>
    </w:p>
    <w:p>
      <w:pPr>
        <w:pStyle w:val="ListParagraph"/>
        <w:numPr>
          <w:ilvl w:val="0"/>
          <w:numId w:val="2"/>
        </w:numPr>
        <w:spacing w:after="80" w:line="280"/>
      </w:pPr>
      <w:r>
        <w:rPr>
          <w:rFonts w:ascii="Arial" w:cs="Arial" w:eastAsia="Arial" w:hAnsi="Arial"/>
          <w:color w:val="2C2C2C"/>
          <w:sz w:val="22"/>
          <w:szCs w:val="22"/>
        </w:rPr>
        <w:t xml:space="preserve">Pressure to sign new SOWs without time to review</w:t>
      </w:r>
    </w:p>
    <w:p>
      <w:pPr>
        <w:pStyle w:val="ListParagraph"/>
        <w:numPr>
          <w:ilvl w:val="0"/>
          <w:numId w:val="2"/>
        </w:numPr>
        <w:spacing w:after="80" w:line="280"/>
      </w:pPr>
      <w:r>
        <w:rPr>
          <w:rFonts w:ascii="Arial" w:cs="Arial" w:eastAsia="Arial" w:hAnsi="Arial"/>
          <w:color w:val="2C2C2C"/>
          <w:sz w:val="22"/>
          <w:szCs w:val="22"/>
        </w:rPr>
        <w:t xml:space="preserve">Refusal to put commitments in writing</w:t>
      </w:r>
    </w:p>
    <w:p>
      <w:pPr>
        <w:pStyle w:val="Heading2"/>
        <w:spacing w:after="160" w:before="320"/>
      </w:pPr>
      <w:r>
        <w:rPr>
          <w:rFonts w:ascii="Arial" w:cs="Arial" w:eastAsia="Arial" w:hAnsi="Arial"/>
          <w:b/>
          <w:bCs/>
          <w:color w:val="1B3A5C"/>
          <w:sz w:val="28"/>
          <w:szCs w:val="28"/>
        </w:rPr>
        <w:t xml:space="preserve">Financial Red Flags</w:t>
      </w:r>
    </w:p>
    <w:p>
      <w:pPr>
        <w:pStyle w:val="ListParagraph"/>
        <w:numPr>
          <w:ilvl w:val="0"/>
          <w:numId w:val="2"/>
        </w:numPr>
        <w:spacing w:after="80" w:line="280"/>
      </w:pPr>
      <w:r>
        <w:rPr>
          <w:rFonts w:ascii="Arial" w:cs="Arial" w:eastAsia="Arial" w:hAnsi="Arial"/>
          <w:color w:val="2C2C2C"/>
          <w:sz w:val="22"/>
          <w:szCs w:val="22"/>
        </w:rPr>
        <w:t xml:space="preserve">Fee increases above the contractual 20% cap</w:t>
      </w:r>
    </w:p>
    <w:p>
      <w:pPr>
        <w:pStyle w:val="ListParagraph"/>
        <w:numPr>
          <w:ilvl w:val="0"/>
          <w:numId w:val="2"/>
        </w:numPr>
        <w:spacing w:after="80" w:line="280"/>
      </w:pPr>
      <w:r>
        <w:rPr>
          <w:rFonts w:ascii="Arial" w:cs="Arial" w:eastAsia="Arial" w:hAnsi="Arial"/>
          <w:color w:val="2C2C2C"/>
          <w:sz w:val="22"/>
          <w:szCs w:val="22"/>
        </w:rPr>
        <w:t xml:space="preserve">Charges on invoices that don't match what was agreed</w:t>
      </w:r>
    </w:p>
    <w:p>
      <w:pPr>
        <w:pStyle w:val="ListParagraph"/>
        <w:numPr>
          <w:ilvl w:val="0"/>
          <w:numId w:val="2"/>
        </w:numPr>
        <w:spacing w:after="80" w:line="280"/>
      </w:pPr>
      <w:r>
        <w:rPr>
          <w:rFonts w:ascii="Arial" w:cs="Arial" w:eastAsia="Arial" w:hAnsi="Arial"/>
          <w:color w:val="2C2C2C"/>
          <w:sz w:val="22"/>
          <w:szCs w:val="22"/>
        </w:rPr>
        <w:t xml:space="preserve">New fees appearing that weren't disclosed in your Order Form</w:t>
      </w:r>
    </w:p>
    <w:p>
      <w:pPr>
        <w:pStyle w:val="ListParagraph"/>
        <w:numPr>
          <w:ilvl w:val="0"/>
          <w:numId w:val="2"/>
        </w:numPr>
        <w:spacing w:after="80" w:line="280"/>
      </w:pPr>
      <w:r>
        <w:rPr>
          <w:rFonts w:ascii="Arial" w:cs="Arial" w:eastAsia="Arial" w:hAnsi="Arial"/>
          <w:color w:val="2C2C2C"/>
          <w:sz w:val="22"/>
          <w:szCs w:val="22"/>
        </w:rPr>
        <w:t xml:space="preserve">Aggressive collection tactics for disputed amounts</w:t>
      </w:r>
    </w:p>
    <w:p>
      <w:pPr>
        <w:pStyle w:val="Heading2"/>
        <w:spacing w:after="160" w:before="320"/>
      </w:pPr>
      <w:r>
        <w:rPr>
          <w:rFonts w:ascii="Arial" w:cs="Arial" w:eastAsia="Arial" w:hAnsi="Arial"/>
          <w:b/>
          <w:bCs/>
          <w:color w:val="1B3A5C"/>
          <w:sz w:val="28"/>
          <w:szCs w:val="28"/>
        </w:rPr>
        <w:t xml:space="preserve">Compliance Red Flags</w:t>
      </w:r>
    </w:p>
    <w:p>
      <w:pPr>
        <w:pStyle w:val="ListParagraph"/>
        <w:numPr>
          <w:ilvl w:val="0"/>
          <w:numId w:val="2"/>
        </w:numPr>
        <w:spacing w:after="80" w:line="280"/>
      </w:pPr>
      <w:r>
        <w:rPr>
          <w:rFonts w:ascii="Arial" w:cs="Arial" w:eastAsia="Arial" w:hAnsi="Arial"/>
          <w:color w:val="2C2C2C"/>
          <w:sz w:val="22"/>
          <w:szCs w:val="22"/>
        </w:rPr>
        <w:t xml:space="preserve">Breach notification arriving late or with incomplete information</w:t>
      </w:r>
    </w:p>
    <w:p>
      <w:pPr>
        <w:pStyle w:val="ListParagraph"/>
        <w:numPr>
          <w:ilvl w:val="0"/>
          <w:numId w:val="2"/>
        </w:numPr>
        <w:spacing w:after="80" w:line="280"/>
      </w:pPr>
      <w:r>
        <w:rPr>
          <w:rFonts w:ascii="Arial" w:cs="Arial" w:eastAsia="Arial" w:hAnsi="Arial"/>
          <w:color w:val="2C2C2C"/>
          <w:sz w:val="22"/>
          <w:szCs w:val="22"/>
        </w:rPr>
        <w:t xml:space="preserve">Difficulty getting accounting of disclosures within HIPAA timeframes</w:t>
      </w:r>
    </w:p>
    <w:p>
      <w:pPr>
        <w:pStyle w:val="ListParagraph"/>
        <w:numPr>
          <w:ilvl w:val="0"/>
          <w:numId w:val="2"/>
        </w:numPr>
        <w:spacing w:after="80" w:line="280"/>
      </w:pPr>
      <w:r>
        <w:rPr>
          <w:rFonts w:ascii="Arial" w:cs="Arial" w:eastAsia="Arial" w:hAnsi="Arial"/>
          <w:color w:val="2C2C2C"/>
          <w:sz w:val="22"/>
          <w:szCs w:val="22"/>
        </w:rPr>
        <w:t xml:space="preserve">Subcontractor changes without notice</w:t>
      </w:r>
    </w:p>
    <w:p>
      <w:pPr>
        <w:pStyle w:val="ListParagraph"/>
        <w:numPr>
          <w:ilvl w:val="0"/>
          <w:numId w:val="2"/>
        </w:numPr>
        <w:spacing w:after="80" w:line="280"/>
      </w:pPr>
      <w:r>
        <w:rPr>
          <w:rFonts w:ascii="Arial" w:cs="Arial" w:eastAsia="Arial" w:hAnsi="Arial"/>
          <w:color w:val="2C2C2C"/>
          <w:sz w:val="22"/>
          <w:szCs w:val="22"/>
        </w:rPr>
        <w:t xml:space="preserve">Changes to Privacy Policy or T&amp;Cs without proper notification</w:t>
      </w:r>
    </w:p>
    <w:p>
      <w:pPr>
        <w:pStyle w:val="Heading2"/>
        <w:spacing w:after="160" w:before="320"/>
      </w:pPr>
      <w:r>
        <w:rPr>
          <w:rFonts w:ascii="Arial" w:cs="Arial" w:eastAsia="Arial" w:hAnsi="Arial"/>
          <w:b/>
          <w:bCs/>
          <w:color w:val="1B3A5C"/>
          <w:sz w:val="28"/>
          <w:szCs w:val="28"/>
        </w:rPr>
        <w:t xml:space="preserve">If You See Multiple Red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D6EEEE"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This is your signal to start evaluating alternatives</w:t>
            </w:r>
          </w:p>
          <w:p>
            <w:r>
              <w:rPr>
                <w:rFonts w:ascii="Arial" w:cs="Arial" w:eastAsia="Arial" w:hAnsi="Arial"/>
                <w:color w:val="2C2C2C"/>
                <w:sz w:val="22"/>
                <w:szCs w:val="22"/>
              </w:rPr>
              <w:t xml:space="preserve">Get competitive quotes. Document the issues. Consider whether to renew. Year two is too late to discover that your vendor relationship has deteriorated. Catch it in year one when your leverage is highest.</w:t>
            </w:r>
          </w:p>
        </w:tc>
      </w:tr>
    </w:tbl>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2E8B8B" w:val="clear"/>
            <w:tcMar>
              <w:top w:type="dxa" w:w="200"/>
              <w:left w:type="dxa" w:w="200"/>
              <w:bottom w:type="dxa" w:w="200"/>
              <w:right w:type="dxa" w:w="200"/>
            </w:tcMar>
          </w:tcPr>
          <w:p>
            <w:pPr>
              <w:jc w:val="center"/>
            </w:pPr>
            <w:r>
              <w:rPr>
                <w:rFonts w:ascii="Arial" w:cs="Arial" w:eastAsia="Arial" w:hAnsi="Arial"/>
                <w:b/>
                <w:bCs/>
                <w:color w:val="FFFFFF"/>
                <w:sz w:val="24"/>
                <w:szCs w:val="24"/>
              </w:rPr>
              <w:t xml:space="preserve">Print this. Keep it near your inbox. Review before every Zenoti conversation. Update annually after each renewal cycle.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C2C2C"/>
        <w:sz w:val="18"/>
        <w:szCs w:val="18"/>
      </w:rPr>
      <w:t xml:space="preserve">Page </w:t>
    </w:r>
    <w:r>
      <w:rPr>
        <w:rFonts w:ascii="Arial" w:cs="Arial" w:eastAsia="Arial" w:hAnsi="Arial"/>
        <w:color w:val="2C2C2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2E8B8B"/>
        <w:sz w:val="18"/>
        <w:szCs w:val="18"/>
      </w:rPr>
      <w:t xml:space="preserve">Shape the Wave  |  Zenoti Vendor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B3A5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8B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2026-05-04T03:30:23.455Z</dcterms:created>
  <dcterms:modified xsi:type="dcterms:W3CDTF">2026-05-04T03:30:23.473Z</dcterms:modified>
</cp:coreProperties>
</file>

<file path=docProps/custom.xml><?xml version="1.0" encoding="utf-8"?>
<Properties xmlns="http://schemas.openxmlformats.org/officeDocument/2006/custom-properties" xmlns:vt="http://schemas.openxmlformats.org/officeDocument/2006/docPropsVTypes"/>
</file>