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56"/>
        </w:rPr>
        <w:t>Shape The Wave Longevity™</w:t>
      </w:r>
    </w:p>
    <w:p>
      <w:pPr>
        <w:jc w:val="center"/>
      </w:pPr>
      <w:r>
        <w:rPr>
          <w:rFonts w:ascii="Calibri" w:hAnsi="Calibri"/>
          <w:color w:val="1F4E79"/>
          <w:sz w:val="36"/>
        </w:rPr>
        <w:t>Complete Platform &amp; Business Model 2025</w:t>
      </w:r>
    </w:p>
    <w:p/>
    <w:p>
      <w:pPr>
        <w:jc w:val="center"/>
      </w:pPr>
      <w:r>
        <w:rPr>
          <w:rFonts w:ascii="Calibri" w:hAnsi="Calibri"/>
          <w:color w:val="333333"/>
          <w:sz w:val="24"/>
        </w:rPr>
        <w:t>Memberships | Bundles | Packages | Services | CPT Codes</w:t>
        <w:br/>
        <w:t>Platform Architecture | Financial Projections | Optimization</w:t>
      </w:r>
    </w:p>
    <w:p/>
    <w:p>
      <w:pPr>
        <w:jc w:val="center"/>
      </w:pPr>
      <w:r>
        <w:rPr>
          <w:rFonts w:ascii="Calibri" w:hAnsi="Calibri"/>
          <w:color w:val="333333"/>
          <w:sz w:val="22"/>
        </w:rPr>
        <w:t>Gurnee, IL | 847-625-8300 | shapethewave.com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Brand Architecture</w:t>
      </w:r>
    </w:p>
    <w:p>
      <w:r>
        <w:t>Shape The Wave Longevity™ is built on a progressive ecosystem that scales from individual coaching through enterprise-grade clinical operations.</w:t>
      </w:r>
    </w:p>
    <w:p>
      <w:pPr>
        <w:pStyle w:val="Heading2"/>
      </w:pPr>
      <w:r>
        <w:rPr>
          <w:rFonts w:ascii="Calibri" w:hAnsi="Calibri"/>
          <w:color w:val="1F4E79"/>
        </w:rPr>
        <w:t>Brand Evolution</w:t>
      </w:r>
    </w:p>
    <w:p>
      <w:pPr>
        <w:pStyle w:val="Heading3"/>
      </w:pPr>
      <w:r>
        <w:rPr>
          <w:rFonts w:ascii="Calibri" w:hAnsi="Calibri"/>
          <w:color w:val="1F4E79"/>
        </w:rPr>
        <w:t>Shape The Wave Longevity™</w:t>
      </w:r>
    </w:p>
    <w:p>
      <w:r>
        <w:t>The parent brand and consumer-facing identity. A concierge longevity and integrative-wellness practice offering membership-based care, curated product bundles, structured service packages, and advanced diagnostics.</w:t>
      </w:r>
    </w:p>
    <w:p>
      <w:pPr>
        <w:pStyle w:val="Heading3"/>
      </w:pPr>
      <w:r>
        <w:rPr>
          <w:rFonts w:ascii="Calibri" w:hAnsi="Calibri"/>
          <w:color w:val="1F4E79"/>
        </w:rPr>
        <w:t>REEL™ Align Method™</w:t>
      </w:r>
    </w:p>
    <w:p>
      <w:r>
        <w:t>The proprietary clinical methodology — Restore, Energize, Elevate, Liberate. A structured framework that guides every patient journey from initial assessment through sustained transformation.</w:t>
      </w:r>
    </w:p>
    <w:p>
      <w:pPr>
        <w:pStyle w:val="Heading3"/>
      </w:pPr>
      <w:r>
        <w:rPr>
          <w:rFonts w:ascii="Calibri" w:hAnsi="Calibri"/>
          <w:color w:val="1F4E79"/>
        </w:rPr>
        <w:t>ReelVerse AI™</w:t>
      </w:r>
    </w:p>
    <w:p>
      <w:r>
        <w:t>The AI engine powering personalized protocols, predictive health modeling, and adaptive coaching. Machine learning trained on anonymised outcomes data to continuously refine treatment recommendations.</w:t>
      </w:r>
    </w:p>
    <w:p>
      <w:pPr>
        <w:pStyle w:val="Heading3"/>
      </w:pPr>
      <w:r>
        <w:rPr>
          <w:rFonts w:ascii="Calibri" w:hAnsi="Calibri"/>
          <w:color w:val="1F4E79"/>
        </w:rPr>
        <w:t>ReelVerse OS™</w:t>
      </w:r>
    </w:p>
    <w:p>
      <w:r>
        <w:t>The full operating system for practitioners and clinics. End-to-end platform encompassing scheduling, billing, clinical decision-support, patient engagement, marketing automation, compliance management, and business intelligence.</w:t>
      </w:r>
    </w:p>
    <w:p>
      <w:pPr>
        <w:pStyle w:val="Heading2"/>
      </w:pPr>
      <w:r>
        <w:rPr>
          <w:rFonts w:ascii="Calibri" w:hAnsi="Calibri"/>
          <w:color w:val="1F4E79"/>
        </w:rPr>
        <w:t>Core Message</w:t>
      </w:r>
    </w:p>
    <w:p>
      <w:r>
        <w:t>“We don’t just treat symptoms — we architect longevity. Shape The Wave Longevity™ combines cutting-edge diagnostics, functional medicine, and AI-powered coaching to help you live longer, stronger, and more fully.”</w:t>
      </w:r>
    </w:p>
    <w:p>
      <w:pPr>
        <w:pStyle w:val="Heading2"/>
      </w:pPr>
      <w:r>
        <w:rPr>
          <w:rFonts w:ascii="Calibri" w:hAnsi="Calibri"/>
          <w:color w:val="1F4E79"/>
        </w:rPr>
        <w:t>REEL™ Framework</w:t>
      </w:r>
    </w:p>
    <w:p>
      <w:pPr>
        <w:pStyle w:val="ListBullet"/>
        <w:ind w:left="720"/>
      </w:pPr>
      <w:r>
        <w:t>R — Restore: Repair foundational health through diagnostics, detox, and cellular recovery.</w:t>
      </w:r>
    </w:p>
    <w:p>
      <w:pPr>
        <w:pStyle w:val="ListBullet"/>
        <w:ind w:left="720"/>
      </w:pPr>
      <w:r>
        <w:t>E — Energize: Optimize mitochondrial function, nutrition, and metabolic pathways.</w:t>
      </w:r>
    </w:p>
    <w:p>
      <w:pPr>
        <w:pStyle w:val="ListBullet"/>
        <w:ind w:left="720"/>
      </w:pPr>
      <w:r>
        <w:t>E — Elevate: Advance performance, cognition, and hormonal balance.</w:t>
      </w:r>
    </w:p>
    <w:p>
      <w:pPr>
        <w:pStyle w:val="ListBullet"/>
        <w:ind w:left="720"/>
      </w:pPr>
      <w:r>
        <w:t>L — Liberate: Sustain autonomy, resilience, and long-term vitality.</w:t>
      </w:r>
    </w:p>
    <w:p>
      <w:pPr>
        <w:pStyle w:val="Heading2"/>
      </w:pPr>
      <w:r>
        <w:rPr>
          <w:rFonts w:ascii="Calibri" w:hAnsi="Calibri"/>
          <w:color w:val="1F4E79"/>
        </w:rPr>
        <w:t>Ecosystem Components (6 Products)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648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Coach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1-on-1 human health coaching integrated with AI-generated action plans. Coaches receive real-time patient data, REEL™ phase tracking, and evidence-based protocol suggestions.</w:t>
            </w:r>
          </w:p>
        </w:tc>
      </w:tr>
      <w:tr>
        <w:tc>
          <w:tcPr>
            <w:tcW w:type="dxa" w:w="28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Mirror</w:t>
            </w:r>
          </w:p>
        </w:tc>
        <w:tc>
          <w:tcPr>
            <w:tcW w:type="dxa" w:w="64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Digital twin / personal health dashboard. Real-time biomarker visualization, trend analysis, goal tracking, and predictive health scoring.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Compass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Clinical decision-support tool for practitioners. Evidence-based protocol libraries, drug-interaction checking, dosing calculators, and outcome tracking.</w:t>
            </w:r>
          </w:p>
        </w:tc>
      </w:tr>
      <w:tr>
        <w:tc>
          <w:tcPr>
            <w:tcW w:type="dxa" w:w="28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Momentum</w:t>
            </w:r>
          </w:p>
        </w:tc>
        <w:tc>
          <w:tcPr>
            <w:tcW w:type="dxa" w:w="64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Patient engagement and retention engine. Automated nudges, milestone celebrations, appointment reminders, re-engagement campaigns, and gamified health streaks.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Academy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Education platform for patients and practitioners. On-demand courses, masterclasses, certification programs, and continuing-education content.</w:t>
            </w:r>
          </w:p>
        </w:tc>
      </w:tr>
      <w:tr>
        <w:tc>
          <w:tcPr>
            <w:tcW w:type="dxa" w:w="28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Certified Practitioner</w:t>
            </w:r>
          </w:p>
        </w:tc>
        <w:tc>
          <w:tcPr>
            <w:tcW w:type="dxa" w:w="64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Credentialing and licensing program. Practitioners earn REEL™ Certified status through training modules, clinical hours, and outcome benchmarks.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1: Membership Tiers</w:t>
      </w:r>
    </w:p>
    <w:p>
      <w:r>
        <w:t>Five membership tiers designed for 64–70% contribution margins. Each tier includes a one-time starter kit, monthly service credits, referral bonuses, and escalating benefits that drive retention and upgrades.</w:t>
      </w:r>
    </w:p>
    <w:p>
      <w:pPr>
        <w:pStyle w:val="Heading2"/>
      </w:pPr>
      <w:r>
        <w:rPr>
          <w:rFonts w:ascii="Calibri" w:hAnsi="Calibri"/>
          <w:color w:val="1F4E79"/>
        </w:rPr>
        <w:t>Tier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8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22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Monthly</w:t>
            </w:r>
          </w:p>
        </w:tc>
        <w:tc>
          <w:tcPr>
            <w:tcW w:type="dxa" w:w="122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Starter Kit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Referral Bonus</w:t>
            </w:r>
          </w:p>
        </w:tc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Extras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Essential</w:t>
            </w:r>
          </w:p>
        </w:tc>
        <w:tc>
          <w:tcPr>
            <w:tcW w:type="dxa" w:w="122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$59/mo</w:t>
            </w:r>
          </w:p>
        </w:tc>
        <w:tc>
          <w:tcPr>
            <w:tcW w:type="dxa" w:w="122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$100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 credit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$25 per referral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—</w:t>
            </w:r>
          </w:p>
        </w:tc>
      </w:tr>
      <w:tr>
        <w:tc>
          <w:tcPr>
            <w:tcW w:type="dxa" w:w="158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Wellness</w:t>
            </w:r>
          </w:p>
        </w:tc>
        <w:tc>
          <w:tcPr>
            <w:tcW w:type="dxa" w:w="122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$99/mo</w:t>
            </w:r>
          </w:p>
        </w:tc>
        <w:tc>
          <w:tcPr>
            <w:tcW w:type="dxa" w:w="122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$149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2 credits</w:t>
            </w:r>
          </w:p>
        </w:tc>
        <w:tc>
          <w:tcPr>
            <w:tcW w:type="dxa" w:w="172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$50 per referral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—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Vitality</w:t>
            </w:r>
          </w:p>
        </w:tc>
        <w:tc>
          <w:tcPr>
            <w:tcW w:type="dxa" w:w="122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$199/mo</w:t>
            </w:r>
          </w:p>
        </w:tc>
        <w:tc>
          <w:tcPr>
            <w:tcW w:type="dxa" w:w="122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 credits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$75 per referral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Monthly B-12 shot included</w:t>
            </w:r>
          </w:p>
        </w:tc>
      </w:tr>
      <w:tr>
        <w:tc>
          <w:tcPr>
            <w:tcW w:type="dxa" w:w="158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Premium</w:t>
            </w:r>
          </w:p>
        </w:tc>
        <w:tc>
          <w:tcPr>
            <w:tcW w:type="dxa" w:w="122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$299/mo</w:t>
            </w:r>
          </w:p>
        </w:tc>
        <w:tc>
          <w:tcPr>
            <w:tcW w:type="dxa" w:w="122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$249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 credits</w:t>
            </w:r>
          </w:p>
        </w:tc>
        <w:tc>
          <w:tcPr>
            <w:tcW w:type="dxa" w:w="172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$100 per referral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 month free on annual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Concierge</w:t>
            </w:r>
          </w:p>
        </w:tc>
        <w:tc>
          <w:tcPr>
            <w:tcW w:type="dxa" w:w="122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$499/mo</w:t>
            </w:r>
          </w:p>
        </w:tc>
        <w:tc>
          <w:tcPr>
            <w:tcW w:type="dxa" w:w="122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$349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Unlimited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$150 per referral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 month free + starter-kit fee waiver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Essential — $59/month</w:t>
      </w:r>
    </w:p>
    <w:p>
      <w:r>
        <w:t>Starter Kit: $100 one-time | 1 service credit/month | Referral: $25</w:t>
      </w:r>
    </w:p>
    <w:p>
      <w:pPr>
        <w:pStyle w:val="Heading3"/>
      </w:pPr>
      <w:r>
        <w:rPr>
          <w:rFonts w:ascii="Calibri" w:hAnsi="Calibri"/>
          <w:color w:val="1F4E79"/>
        </w:rPr>
        <w:t>Included Services</w:t>
      </w:r>
    </w:p>
    <w:p>
      <w:pPr>
        <w:pStyle w:val="ListBullet"/>
        <w:ind w:left="720"/>
      </w:pPr>
      <w:r>
        <w:t>Initial health assessment &amp; goal-setting consultation</w:t>
      </w:r>
    </w:p>
    <w:p>
      <w:pPr>
        <w:pStyle w:val="ListBullet"/>
        <w:ind w:left="720"/>
      </w:pPr>
      <w:r>
        <w:t>Monthly wellness check-in (virtual or in-person)</w:t>
      </w:r>
    </w:p>
    <w:p>
      <w:pPr>
        <w:pStyle w:val="ListBullet"/>
        <w:ind w:left="720"/>
      </w:pPr>
      <w:r>
        <w:t>Access to the Shape The Wave patient portal &amp; Mirror dashboard</w:t>
      </w:r>
    </w:p>
    <w:p>
      <w:pPr>
        <w:pStyle w:val="ListBullet"/>
        <w:ind w:left="720"/>
      </w:pPr>
      <w:r>
        <w:t>Personalized nutrition guide (digital)</w:t>
      </w:r>
    </w:p>
    <w:p>
      <w:pPr>
        <w:pStyle w:val="ListBullet"/>
        <w:ind w:left="720"/>
      </w:pPr>
      <w:r>
        <w:t>10% discount on a la carte services</w:t>
      </w:r>
    </w:p>
    <w:p>
      <w:pPr>
        <w:pStyle w:val="ListBullet"/>
        <w:ind w:left="720"/>
      </w:pPr>
      <w:r>
        <w:t>Community forum access</w:t>
      </w:r>
    </w:p>
    <w:p>
      <w:pPr>
        <w:pStyle w:val="Heading3"/>
      </w:pPr>
      <w:r>
        <w:rPr>
          <w:rFonts w:ascii="Calibri" w:hAnsi="Calibri"/>
          <w:color w:val="1F4E79"/>
        </w:rPr>
        <w:t>Starter Kit Contains</w:t>
      </w:r>
    </w:p>
    <w:p>
      <w:pPr>
        <w:pStyle w:val="ListBullet"/>
        <w:ind w:left="720"/>
      </w:pPr>
      <w:r>
        <w:t>Welcome packet &amp; brand journal</w:t>
      </w:r>
    </w:p>
    <w:p>
      <w:pPr>
        <w:pStyle w:val="ListBullet"/>
        <w:ind w:left="720"/>
      </w:pPr>
      <w:r>
        <w:t>BPA-free water bottle (branded)</w:t>
      </w:r>
    </w:p>
    <w:p>
      <w:pPr>
        <w:pStyle w:val="ListBullet"/>
        <w:ind w:left="720"/>
      </w:pPr>
      <w:r>
        <w:t>Digital health-tracker setup guide</w:t>
      </w:r>
    </w:p>
    <w:p>
      <w:pPr>
        <w:pStyle w:val="ListBullet"/>
        <w:ind w:left="720"/>
      </w:pPr>
      <w:r>
        <w:t>Sample supplement pack (7-day supply)</w:t>
      </w:r>
    </w:p>
    <w:p>
      <w:pPr>
        <w:pStyle w:val="Heading2"/>
      </w:pPr>
      <w:r>
        <w:rPr>
          <w:rFonts w:ascii="Calibri" w:hAnsi="Calibri"/>
          <w:color w:val="1F4E79"/>
        </w:rPr>
        <w:t>Wellness — $99/month</w:t>
      </w:r>
    </w:p>
    <w:p>
      <w:r>
        <w:t>Starter Kit: $149 one-time | 2 service credits/month | Referral: $50</w:t>
      </w:r>
    </w:p>
    <w:p>
      <w:pPr>
        <w:pStyle w:val="Heading3"/>
      </w:pPr>
      <w:r>
        <w:rPr>
          <w:rFonts w:ascii="Calibri" w:hAnsi="Calibri"/>
          <w:color w:val="1F4E79"/>
        </w:rPr>
        <w:t>Included Services</w:t>
      </w:r>
    </w:p>
    <w:p>
      <w:pPr>
        <w:pStyle w:val="ListBullet"/>
        <w:ind w:left="720"/>
      </w:pPr>
      <w:r>
        <w:t>Everything in Essential</w:t>
      </w:r>
    </w:p>
    <w:p>
      <w:pPr>
        <w:pStyle w:val="ListBullet"/>
        <w:ind w:left="720"/>
      </w:pPr>
      <w:r>
        <w:t>Bi-monthly 1-on-1 coaching sessions (30 min each)</w:t>
      </w:r>
    </w:p>
    <w:p>
      <w:pPr>
        <w:pStyle w:val="ListBullet"/>
        <w:ind w:left="720"/>
      </w:pPr>
      <w:r>
        <w:t>Quarterly body-composition scan (InBody or DEXA)</w:t>
      </w:r>
    </w:p>
    <w:p>
      <w:pPr>
        <w:pStyle w:val="ListBullet"/>
        <w:ind w:left="720"/>
      </w:pPr>
      <w:r>
        <w:t>Basic blood panel review (annual)</w:t>
      </w:r>
    </w:p>
    <w:p>
      <w:pPr>
        <w:pStyle w:val="ListBullet"/>
        <w:ind w:left="720"/>
      </w:pPr>
      <w:r>
        <w:t>Access to REEL™ Align Method™ guided programs</w:t>
      </w:r>
    </w:p>
    <w:p>
      <w:pPr>
        <w:pStyle w:val="ListBullet"/>
        <w:ind w:left="720"/>
      </w:pPr>
      <w:r>
        <w:t>15% discount on a la carte services</w:t>
      </w:r>
    </w:p>
    <w:p>
      <w:pPr>
        <w:pStyle w:val="ListBullet"/>
        <w:ind w:left="720"/>
      </w:pPr>
      <w:r>
        <w:t>Priority scheduling</w:t>
      </w:r>
    </w:p>
    <w:p>
      <w:pPr>
        <w:pStyle w:val="Heading3"/>
      </w:pPr>
      <w:r>
        <w:rPr>
          <w:rFonts w:ascii="Calibri" w:hAnsi="Calibri"/>
          <w:color w:val="1F4E79"/>
        </w:rPr>
        <w:t>Starter Kit Contains</w:t>
      </w:r>
    </w:p>
    <w:p>
      <w:pPr>
        <w:pStyle w:val="ListBullet"/>
        <w:ind w:left="720"/>
      </w:pPr>
      <w:r>
        <w:t>Everything in Essential kit</w:t>
      </w:r>
    </w:p>
    <w:p>
      <w:pPr>
        <w:pStyle w:val="ListBullet"/>
        <w:ind w:left="720"/>
      </w:pPr>
      <w:r>
        <w:t>Resistance band set (3 levels)</w:t>
      </w:r>
    </w:p>
    <w:p>
      <w:pPr>
        <w:pStyle w:val="ListBullet"/>
        <w:ind w:left="720"/>
      </w:pPr>
      <w:r>
        <w:t>30-day premium supplement starter</w:t>
      </w:r>
    </w:p>
    <w:p>
      <w:pPr>
        <w:pStyle w:val="ListBullet"/>
        <w:ind w:left="720"/>
      </w:pPr>
      <w:r>
        <w:t>Branded tote bag</w:t>
      </w:r>
    </w:p>
    <w:p>
      <w:pPr>
        <w:pStyle w:val="Heading2"/>
      </w:pPr>
      <w:r>
        <w:rPr>
          <w:rFonts w:ascii="Calibri" w:hAnsi="Calibri"/>
          <w:color w:val="1F4E79"/>
        </w:rPr>
        <w:t>Vitality — $199/month</w:t>
      </w:r>
    </w:p>
    <w:p>
      <w:r>
        <w:t>Starter Kit: $199 one-time | 4 service credits/month | Referral: $75 | Monthly B-12 shot included</w:t>
      </w:r>
    </w:p>
    <w:p>
      <w:pPr>
        <w:pStyle w:val="Heading3"/>
      </w:pPr>
      <w:r>
        <w:rPr>
          <w:rFonts w:ascii="Calibri" w:hAnsi="Calibri"/>
          <w:color w:val="1F4E79"/>
        </w:rPr>
        <w:t>Included Services</w:t>
      </w:r>
    </w:p>
    <w:p>
      <w:pPr>
        <w:pStyle w:val="ListBullet"/>
        <w:ind w:left="720"/>
      </w:pPr>
      <w:r>
        <w:t>Everything in Wellness</w:t>
      </w:r>
    </w:p>
    <w:p>
      <w:pPr>
        <w:pStyle w:val="ListBullet"/>
        <w:ind w:left="720"/>
      </w:pPr>
      <w:r>
        <w:t>Monthly B-12 injection (in-clinic)</w:t>
      </w:r>
    </w:p>
    <w:p>
      <w:pPr>
        <w:pStyle w:val="ListBullet"/>
        <w:ind w:left="720"/>
      </w:pPr>
      <w:r>
        <w:t>Weekly coaching sessions (30 min)</w:t>
      </w:r>
    </w:p>
    <w:p>
      <w:pPr>
        <w:pStyle w:val="ListBullet"/>
        <w:ind w:left="720"/>
      </w:pPr>
      <w:r>
        <w:t>Comprehensive blood panel (semi-annual)</w:t>
      </w:r>
    </w:p>
    <w:p>
      <w:pPr>
        <w:pStyle w:val="ListBullet"/>
        <w:ind w:left="720"/>
      </w:pPr>
      <w:r>
        <w:t>IV therapy session — 1 per quarter (Wellness Drip)</w:t>
      </w:r>
    </w:p>
    <w:p>
      <w:pPr>
        <w:pStyle w:val="ListBullet"/>
        <w:ind w:left="720"/>
      </w:pPr>
      <w:r>
        <w:t>Access to ReelVerse AI™ personalized protocols</w:t>
      </w:r>
    </w:p>
    <w:p>
      <w:pPr>
        <w:pStyle w:val="ListBullet"/>
        <w:ind w:left="720"/>
      </w:pPr>
      <w:r>
        <w:t>20% discount on a la carte services</w:t>
      </w:r>
    </w:p>
    <w:p>
      <w:pPr>
        <w:pStyle w:val="ListBullet"/>
        <w:ind w:left="720"/>
      </w:pPr>
      <w:r>
        <w:t>Dedicated care coordinator</w:t>
      </w:r>
    </w:p>
    <w:p>
      <w:pPr>
        <w:pStyle w:val="Heading3"/>
      </w:pPr>
      <w:r>
        <w:rPr>
          <w:rFonts w:ascii="Calibri" w:hAnsi="Calibri"/>
          <w:color w:val="1F4E79"/>
        </w:rPr>
        <w:t>Starter Kit Contains</w:t>
      </w:r>
    </w:p>
    <w:p>
      <w:pPr>
        <w:pStyle w:val="ListBullet"/>
        <w:ind w:left="720"/>
      </w:pPr>
      <w:r>
        <w:t>Everything in Wellness kit</w:t>
      </w:r>
    </w:p>
    <w:p>
      <w:pPr>
        <w:pStyle w:val="ListBullet"/>
        <w:ind w:left="720"/>
      </w:pPr>
      <w:r>
        <w:t>Premium supplement bundle (60-day supply)</w:t>
      </w:r>
    </w:p>
    <w:p>
      <w:pPr>
        <w:pStyle w:val="ListBullet"/>
        <w:ind w:left="720"/>
      </w:pPr>
      <w:r>
        <w:t>Foam roller &amp; mobility tools</w:t>
      </w:r>
    </w:p>
    <w:p>
      <w:pPr>
        <w:pStyle w:val="ListBullet"/>
        <w:ind w:left="720"/>
      </w:pPr>
      <w:r>
        <w:t>Branded performance T-shirt</w:t>
      </w:r>
    </w:p>
    <w:p>
      <w:pPr>
        <w:pStyle w:val="Heading2"/>
      </w:pPr>
      <w:r>
        <w:rPr>
          <w:rFonts w:ascii="Calibri" w:hAnsi="Calibri"/>
          <w:color w:val="1F4E79"/>
        </w:rPr>
        <w:t>Premium — $299/month</w:t>
      </w:r>
    </w:p>
    <w:p>
      <w:r>
        <w:t>Starter Kit: $249 one-time | 6 service credits/month | Referral: $100 + 1 month free on annual commitment</w:t>
      </w:r>
    </w:p>
    <w:p>
      <w:pPr>
        <w:pStyle w:val="Heading3"/>
      </w:pPr>
      <w:r>
        <w:rPr>
          <w:rFonts w:ascii="Calibri" w:hAnsi="Calibri"/>
          <w:color w:val="1F4E79"/>
        </w:rPr>
        <w:t>Included Services</w:t>
      </w:r>
    </w:p>
    <w:p>
      <w:pPr>
        <w:pStyle w:val="ListBullet"/>
        <w:ind w:left="720"/>
      </w:pPr>
      <w:r>
        <w:t>Everything in Vitality</w:t>
      </w:r>
    </w:p>
    <w:p>
      <w:pPr>
        <w:pStyle w:val="ListBullet"/>
        <w:ind w:left="720"/>
      </w:pPr>
      <w:r>
        <w:t>Monthly IV therapy session (choice of drip)</w:t>
      </w:r>
    </w:p>
    <w:p>
      <w:pPr>
        <w:pStyle w:val="ListBullet"/>
        <w:ind w:left="720"/>
      </w:pPr>
      <w:r>
        <w:t>Bi-weekly coaching sessions (45 min)</w:t>
      </w:r>
    </w:p>
    <w:p>
      <w:pPr>
        <w:pStyle w:val="ListBullet"/>
        <w:ind w:left="720"/>
      </w:pPr>
      <w:r>
        <w:t>Advanced diagnostics — annual comprehensive panel + hormone panel</w:t>
      </w:r>
    </w:p>
    <w:p>
      <w:pPr>
        <w:pStyle w:val="ListBullet"/>
        <w:ind w:left="720"/>
      </w:pPr>
      <w:r>
        <w:t>Genetic testing consultation (one-time)</w:t>
      </w:r>
    </w:p>
    <w:p>
      <w:pPr>
        <w:pStyle w:val="ListBullet"/>
        <w:ind w:left="720"/>
      </w:pPr>
      <w:r>
        <w:t>Access to Academy masterclasses</w:t>
      </w:r>
    </w:p>
    <w:p>
      <w:pPr>
        <w:pStyle w:val="ListBullet"/>
        <w:ind w:left="720"/>
      </w:pPr>
      <w:r>
        <w:t>25% discount on a la carte services</w:t>
      </w:r>
    </w:p>
    <w:p>
      <w:pPr>
        <w:pStyle w:val="ListBullet"/>
        <w:ind w:left="720"/>
      </w:pPr>
      <w:r>
        <w:t>Same-day appointment availability</w:t>
      </w:r>
    </w:p>
    <w:p>
      <w:pPr>
        <w:pStyle w:val="ListBullet"/>
        <w:ind w:left="720"/>
      </w:pPr>
      <w:r>
        <w:t>Quarterly strategy session with clinical director</w:t>
      </w:r>
    </w:p>
    <w:p>
      <w:pPr>
        <w:pStyle w:val="Heading3"/>
      </w:pPr>
      <w:r>
        <w:rPr>
          <w:rFonts w:ascii="Calibri" w:hAnsi="Calibri"/>
          <w:color w:val="1F4E79"/>
        </w:rPr>
        <w:t>Starter Kit Contains</w:t>
      </w:r>
    </w:p>
    <w:p>
      <w:pPr>
        <w:pStyle w:val="ListBullet"/>
        <w:ind w:left="720"/>
      </w:pPr>
      <w:r>
        <w:t>Everything in Vitality kit</w:t>
      </w:r>
    </w:p>
    <w:p>
      <w:pPr>
        <w:pStyle w:val="ListBullet"/>
        <w:ind w:left="720"/>
      </w:pPr>
      <w:r>
        <w:t>Smart water bottle with hydration tracking</w:t>
      </w:r>
    </w:p>
    <w:p>
      <w:pPr>
        <w:pStyle w:val="ListBullet"/>
        <w:ind w:left="720"/>
      </w:pPr>
      <w:r>
        <w:t>90-day premium supplement protocol</w:t>
      </w:r>
    </w:p>
    <w:p>
      <w:pPr>
        <w:pStyle w:val="ListBullet"/>
        <w:ind w:left="720"/>
      </w:pPr>
      <w:r>
        <w:t>Branded zip-up hoodie</w:t>
      </w:r>
    </w:p>
    <w:p>
      <w:pPr>
        <w:pStyle w:val="ListBullet"/>
        <w:ind w:left="720"/>
      </w:pPr>
      <w:r>
        <w:t>Exclusive member card</w:t>
      </w:r>
    </w:p>
    <w:p>
      <w:pPr>
        <w:pStyle w:val="Heading2"/>
      </w:pPr>
      <w:r>
        <w:rPr>
          <w:rFonts w:ascii="Calibri" w:hAnsi="Calibri"/>
          <w:color w:val="1F4E79"/>
        </w:rPr>
        <w:t>Concierge — $499/month</w:t>
      </w:r>
    </w:p>
    <w:p>
      <w:r>
        <w:t>Starter Kit: $349 one-time (fee waived with referral) | Unlimited credits | Referral: $150 + 1 month free + starter-kit fee waiver for referee</w:t>
      </w:r>
    </w:p>
    <w:p>
      <w:pPr>
        <w:pStyle w:val="Heading3"/>
      </w:pPr>
      <w:r>
        <w:rPr>
          <w:rFonts w:ascii="Calibri" w:hAnsi="Calibri"/>
          <w:color w:val="1F4E79"/>
        </w:rPr>
        <w:t>Included Services</w:t>
      </w:r>
    </w:p>
    <w:p>
      <w:pPr>
        <w:pStyle w:val="ListBullet"/>
        <w:ind w:left="720"/>
      </w:pPr>
      <w:r>
        <w:t>Everything in Premium</w:t>
      </w:r>
    </w:p>
    <w:p>
      <w:pPr>
        <w:pStyle w:val="ListBullet"/>
        <w:ind w:left="720"/>
      </w:pPr>
      <w:r>
        <w:t>Unlimited service credits (all modalities)</w:t>
      </w:r>
    </w:p>
    <w:p>
      <w:pPr>
        <w:pStyle w:val="ListBullet"/>
        <w:ind w:left="720"/>
      </w:pPr>
      <w:r>
        <w:t>Weekly IV therapy sessions</w:t>
      </w:r>
    </w:p>
    <w:p>
      <w:pPr>
        <w:pStyle w:val="ListBullet"/>
        <w:ind w:left="720"/>
      </w:pPr>
      <w:r>
        <w:t>On-demand coaching (unlimited virtual access)</w:t>
      </w:r>
    </w:p>
    <w:p>
      <w:pPr>
        <w:pStyle w:val="ListBullet"/>
        <w:ind w:left="720"/>
      </w:pPr>
      <w:r>
        <w:t>Comprehensive annual executive health exam</w:t>
      </w:r>
    </w:p>
    <w:p>
      <w:pPr>
        <w:pStyle w:val="ListBullet"/>
        <w:ind w:left="720"/>
      </w:pPr>
      <w:r>
        <w:t>Full genetic + epigenetic panel with consultation</w:t>
      </w:r>
    </w:p>
    <w:p>
      <w:pPr>
        <w:pStyle w:val="ListBullet"/>
        <w:ind w:left="720"/>
      </w:pPr>
      <w:r>
        <w:t>Personalized longevity protocol (ReelVerse AI™ + clinician)</w:t>
      </w:r>
    </w:p>
    <w:p>
      <w:pPr>
        <w:pStyle w:val="ListBullet"/>
        <w:ind w:left="720"/>
      </w:pPr>
      <w:r>
        <w:t>Direct provider cell-phone access</w:t>
      </w:r>
    </w:p>
    <w:p>
      <w:pPr>
        <w:pStyle w:val="ListBullet"/>
        <w:ind w:left="720"/>
      </w:pPr>
      <w:r>
        <w:t>30% discount on a la carte services</w:t>
      </w:r>
    </w:p>
    <w:p>
      <w:pPr>
        <w:pStyle w:val="ListBullet"/>
        <w:ind w:left="720"/>
      </w:pPr>
      <w:r>
        <w:t>White-glove concierge scheduling</w:t>
      </w:r>
    </w:p>
    <w:p>
      <w:pPr>
        <w:pStyle w:val="ListBullet"/>
        <w:ind w:left="720"/>
      </w:pPr>
      <w:r>
        <w:t>Priority access to new services and clinical trials</w:t>
      </w:r>
    </w:p>
    <w:p>
      <w:pPr>
        <w:pStyle w:val="ListBullet"/>
        <w:ind w:left="720"/>
      </w:pPr>
      <w:r>
        <w:t>Annual wellness retreat invitation</w:t>
      </w:r>
    </w:p>
    <w:p>
      <w:pPr>
        <w:pStyle w:val="Heading3"/>
      </w:pPr>
      <w:r>
        <w:rPr>
          <w:rFonts w:ascii="Calibri" w:hAnsi="Calibri"/>
          <w:color w:val="1F4E79"/>
        </w:rPr>
        <w:t>Starter Kit Contains</w:t>
      </w:r>
    </w:p>
    <w:p>
      <w:pPr>
        <w:pStyle w:val="ListBullet"/>
        <w:ind w:left="720"/>
      </w:pPr>
      <w:r>
        <w:t>Everything in Premium kit</w:t>
      </w:r>
    </w:p>
    <w:p>
      <w:pPr>
        <w:pStyle w:val="ListBullet"/>
        <w:ind w:left="720"/>
      </w:pPr>
      <w:r>
        <w:t>Wearable health tracker (Oura Ring or equivalent)</w:t>
      </w:r>
    </w:p>
    <w:p>
      <w:pPr>
        <w:pStyle w:val="ListBullet"/>
        <w:ind w:left="720"/>
      </w:pPr>
      <w:r>
        <w:t>120-day personalized supplement protocol</w:t>
      </w:r>
    </w:p>
    <w:p>
      <w:pPr>
        <w:pStyle w:val="ListBullet"/>
        <w:ind w:left="720"/>
      </w:pPr>
      <w:r>
        <w:t>Branded luxury duffel bag</w:t>
      </w:r>
    </w:p>
    <w:p>
      <w:pPr>
        <w:pStyle w:val="ListBullet"/>
        <w:ind w:left="720"/>
      </w:pPr>
      <w:r>
        <w:t>Complimentary guest pass (1 per quarter)</w:t>
      </w:r>
    </w:p>
    <w:p>
      <w:pPr>
        <w:pStyle w:val="Heading2"/>
      </w:pPr>
      <w:r>
        <w:rPr>
          <w:rFonts w:ascii="Calibri" w:hAnsi="Calibri"/>
          <w:color w:val="1F4E79"/>
        </w:rPr>
        <w:t>Membership Margin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Monthly Revenue</w:t>
            </w:r>
          </w:p>
        </w:tc>
        <w:tc>
          <w:tcPr>
            <w:tcW w:type="dxa" w:w="14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Est. COGS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Contribution Margin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Margin 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Essential $59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$59.00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$19.47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$39.53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67%</w:t>
            </w:r>
          </w:p>
        </w:tc>
      </w:tr>
      <w:tr>
        <w:tc>
          <w:tcPr>
            <w:tcW w:type="dxa" w:w="187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Wellness $99</w:t>
            </w:r>
          </w:p>
        </w:tc>
        <w:tc>
          <w:tcPr>
            <w:tcW w:type="dxa" w:w="172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$99.00</w:t>
            </w:r>
          </w:p>
        </w:tc>
        <w:tc>
          <w:tcPr>
            <w:tcW w:type="dxa" w:w="14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$33.66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$65.34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66%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Vitality $199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$199.00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$69.65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$129.35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65%</w:t>
            </w:r>
          </w:p>
        </w:tc>
      </w:tr>
      <w:tr>
        <w:tc>
          <w:tcPr>
            <w:tcW w:type="dxa" w:w="187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Premium $299</w:t>
            </w:r>
          </w:p>
        </w:tc>
        <w:tc>
          <w:tcPr>
            <w:tcW w:type="dxa" w:w="172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$299.00</w:t>
            </w:r>
          </w:p>
        </w:tc>
        <w:tc>
          <w:tcPr>
            <w:tcW w:type="dxa" w:w="14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$101.66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$197.34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66%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Concierge $499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$499.00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$149.70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$349.30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70%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2: Product Bundles (22 Groupings)</w:t>
      </w:r>
    </w:p>
    <w:p>
      <w:r>
        <w:t>Curated product bundles grouped by category to maximize average order value and simplify patient purchasing decisions.</w:t>
      </w:r>
    </w:p>
    <w:p>
      <w:pPr>
        <w:pStyle w:val="Heading2"/>
      </w:pPr>
      <w:r>
        <w:rPr>
          <w:rFonts w:ascii="Calibri" w:hAnsi="Calibri"/>
          <w:color w:val="1F4E79"/>
        </w:rPr>
        <w:t>Weight Loss Bundles (Levels 1–6)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WL Level 1 — Foundation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Meal-replacement shakes (14-day), fiber supplement, electrolyte packets (30), digital food journal access, portion-control plate set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WL Level 2 — Accelerate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</w:t>
            </w:r>
          </w:p>
        </w:tc>
        <w:tc>
          <w:tcPr>
            <w:tcW w:type="dxa" w:w="604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Everything in L1 + thermogenic capsules (30-day), CLA, green tea extract, weekly coaching check-in (4 weeks)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WL Level 3 — Metabolic Boost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Everything in L2 + metabolic panel lab draw, B-12 injection x4, MIC lipotropic injection x4, personalized macro plan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WL Level 4 — Clinical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$499</w:t>
            </w:r>
          </w:p>
        </w:tc>
        <w:tc>
          <w:tcPr>
            <w:tcW w:type="dxa" w:w="604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Everything in L3 + semaglutide/tirzepatide starter Rx, body-comp scan x2, provider consult, 30-day supplement protocol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WL Level 5 — Intensive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$749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Everything in L4 + weekly IV hydration x4, coaching x8, advanced metabolic testing, CGM (14-day), monthly labs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WL Level 6 — Total Transformation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$999</w:t>
            </w:r>
          </w:p>
        </w:tc>
        <w:tc>
          <w:tcPr>
            <w:tcW w:type="dxa" w:w="604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Everything in L5 + bi-weekly IV therapy x8, genetic testing, epigenetic age test, 90-day supplement protocol, dedicated care coordinator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Men’s Vitality &amp; Sexual Health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Men’s Vitality Bundle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$249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Testosterone support complex, DHEA, Zinc, Ashwagandha, Tongkat Ali, Boron, D3+K2 (60-day supply), lifestyle optimization guide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ED Essentials Bundle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</w:t>
            </w:r>
          </w:p>
        </w:tc>
        <w:tc>
          <w:tcPr>
            <w:tcW w:type="dxa" w:w="604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L-Citrulline, Pycnogenol, Maca root, daily multivitamin, confidential telehealth consult, discreet packaging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ED Performance Bundle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$349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Everything in ED Essentials + PDE5 inhibitor Rx evaluation, advanced hormone panel, coaching x2, nitric-oxide booster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Anti-Aging &amp; Hair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Anti-Aging Skin Bundle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$159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Retinol serum, Vitamin C serum, hyaluronic acid moisturizer, SPF 50 mineral sunscreen, peptide eye cream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Hair Restoration Bundle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$279</w:t>
            </w:r>
          </w:p>
        </w:tc>
        <w:tc>
          <w:tcPr>
            <w:tcW w:type="dxa" w:w="604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Biotin 10,000 mcg, saw palmetto, collagen peptides, DHT-blocking shampoo, minoxidil foam (3-month supply), scalp massage tool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Hormone &amp; TRT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BHRT Starter Bundle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$399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DUTCH complete test, initial provider consult, 30-day bioidentical hormone Rx, liver-support supplement, follow-up labs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BHRT Complete Bundle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$699</w:t>
            </w:r>
          </w:p>
        </w:tc>
        <w:tc>
          <w:tcPr>
            <w:tcW w:type="dxa" w:w="604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Everything in BHRT Starter + 90-day hormone Rx, quarterly labs x3, coaching x6, adrenal support complex, progesterone cream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TRT + Support Bundle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$449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Testosterone cypionate Rx (10-week supply), anastrozole, HCG, injection supplies, sharps container, injection technique guide, labs x2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Couples TRT Bundle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$799</w:t>
            </w:r>
          </w:p>
        </w:tc>
        <w:tc>
          <w:tcPr>
            <w:tcW w:type="dxa" w:w="604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His &amp; Hers hormone panels, dual provider consults, 12-week Rx protocols, couples coaching x4, his TRT + her BHRT starter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Complete Male Optimization Bundle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$599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TRT Rx, DHEA, full hormone panel, body-comp scan, coaching x4, supplement protocol (zinc, magnesium, D3, boron), lifestyle guide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Female Wellness Bundle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Female Wellness Bundle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$349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Comprehensive female hormone panel, DUTCH test, iron + ferritin add-on, DIM, evening primrose oil, vitex, calcium D-glucarate, 60-day supply, coaching x2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Starter &amp; Post-Treatment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WL Starter Kit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Meal-prep containers (set of 10), digital scale, measuring cups, shaker bottle, 7-day sample supplement pack, quick-start nutrition guide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Post-TRT Support Bundle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</w:t>
            </w:r>
          </w:p>
        </w:tc>
        <w:tc>
          <w:tcPr>
            <w:tcW w:type="dxa" w:w="604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PCT (post-cycle therapy) supplements, liver-support complex, cortisol manager, estrogen metabolism support, 60-day supply, follow-up lab requisition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Growth Hormone &amp; Longevity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Growth Hormone Starter Bundle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$549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IGF-1 &amp; GH panel, provider consult, peptide Rx evaluation (CJC-1295/Ipamorelin or Sermorelin), 30-day supply, injection supplies, coaching x2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Growth Hormone Max Bundle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$899</w:t>
            </w:r>
          </w:p>
        </w:tc>
        <w:tc>
          <w:tcPr>
            <w:tcW w:type="dxa" w:w="604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Everything in GH Starter + 90-day peptide supply, quarterly labs x3, body-comp x2, sleep optimization protocol, advanced amino-acid complex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Longevity Stack Bundle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$179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NMN/NR, Resveratrol, CoQ10 Ubiquinol, Curcumin, Quercetin (30-day supply)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3: Service Packages (25 Programs)</w:t>
      </w:r>
    </w:p>
    <w:p>
      <w:r>
        <w:t>Structured multi-session programs designed for specific health outcomes. Each package includes a defined duration, set of services, and measurable goals.</w:t>
      </w:r>
    </w:p>
    <w:p>
      <w:pPr>
        <w:pStyle w:val="Heading2"/>
      </w:pPr>
      <w:r>
        <w:rPr>
          <w:rFonts w:ascii="Calibri" w:hAnsi="Calibri"/>
          <w:color w:val="1F4E79"/>
        </w:rPr>
        <w:t>Weight Management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0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Kickstart Weight Loss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 coaching sessions, meal plan, body comp scan x2, supplement protocol, weekly check-ins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Medical Weight Loss Program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$1,299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12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Weekly check-ins, semaglutide/tirzepatide Rx management, labs x3, coaching x8, body comp x3, nutrition plan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Post-Bariatric Optimization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Nutritional counseling x8, lab panel, supplement protocol, body comp x2, IV therapy x2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Metabolic Reset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$749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Metabolic testing, meal plan, coaching x6, labs, body comp x2, supplement protocol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Stubborn Fat Elimination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Red-light therapy x12, coaching x4, meal plan, body comp x2, thermogenic protocol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Hormone &amp; Fertility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0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Hormone Optimization (Men)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12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DUTCH test, TRT evaluation, labs x3, coaching x6, follow-up consults x3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Hormone Optimization (Women)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12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DUTCH test, HRT evaluation, labs x3, coaching x6, follow-up consults x3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Fertility Prep Program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$1,499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16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Comprehensive fertility panel, nutrition plan, supplement protocol, coaching x12, labs x4, partner consult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Perimenopause Support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10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Hormone panel, symptom tracking, coaching x8, supplement protocol, follow-up x2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Andropause Recovery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10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Full male hormone panel, TRT evaluation, coaching x6, labs x3, IV therapy x2, lifestyle plan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IV &amp; Recovery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0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Athletic Recovery Program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IV therapy x4, cryotherapy x6, compression therapy x6, performance coaching x4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Executive Recharge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$1,199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NAD+ IV x2, Myers’ Cocktail x2, B-12 x4, coaching x4, sleep assessment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Immune Fortification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High-dose Vitamin C IV x4, Zinc infusion x2, immune labs, supplement protocol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Longevity &amp; Anti-Aging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0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Longevity Blueprint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$2,499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16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Full biomarker panel, genetic test, epigenetic age test, VO2 max, coaching x12, IV therapy x8, supplement protocol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Biological Age Reversal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$1,999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12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Epigenetic testing x2, NAD+ IV x6, hyperbaric oxygen x8, coaching x8, red-light therapy x12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Skin Rejuvenation Program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$1,299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PRP facial x3, LED therapy x6, medical-grade skincare protocol, coaching x4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Cellular Renewal Program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$1,799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12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NAD+ IV x8, glutathione x8, red-light therapy x12, supplement protocol, coaching x6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Mental Wellness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0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Stress Resilience Program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HRV assessment, biofeedback x4, coaching x6, meditation training, supplement protocol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Sleep Optimization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Sleep study referral, coaching x4, supplement protocol, blue-light management plan, follow-up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Cognitive Performance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Neurocognitive assessment, brain-training program, coaching x6, nootropic protocol, labs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Burnout Recovery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10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Adrenal panel, coaching x8, IV therapy x4, acupuncture x4, stress management plan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Specialty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04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Gut Restoration Program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$1,099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12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GI-MAP test, elimination diet coaching x8, supplement protocol, follow-up testing, meal plans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Diabetes Prevention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10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HbA1c + glucose panel, CGM (28-day), nutrition coaching x8, exercise plan, follow-up labs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Cardiac Risk Reduction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12 weeks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Advanced lipid panel, ApoB, Lp(a), coronary calcium score referral, coaching x8, supplement protocol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Corporate Wellness (per employee)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 weeks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Health assessment, coaching x4, biometric screening, wellness report, team dashboard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New Patient Comprehensive Intake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Single visit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90-min initial consult, health history, goal-setting, basic labs, care plan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Annual Executive Physical</w:t>
            </w:r>
          </w:p>
        </w:tc>
        <w:tc>
          <w:tcPr>
            <w:tcW w:type="dxa" w:w="100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$1,499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 day</w:t>
            </w:r>
          </w:p>
        </w:tc>
        <w:tc>
          <w:tcPr>
            <w:tcW w:type="dxa" w:w="504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Full lab panel, body comp, VO2 max, EKG, cognitive screen, vision/hearing, provider review, longevity plan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4: A La Carte Services (50 Services)</w:t>
      </w:r>
    </w:p>
    <w:p>
      <w:r>
        <w:t>All services available individually outside of membership credits. Three pricing columns reflect Self Pay, standard Insurance reimbursement, and BCBS contracted rates.</w:t>
      </w:r>
    </w:p>
    <w:p>
      <w:pPr>
        <w:pStyle w:val="Heading2"/>
      </w:pPr>
      <w:r>
        <w:rPr>
          <w:rFonts w:ascii="Calibri" w:hAnsi="Calibri"/>
          <w:color w:val="1F4E79"/>
        </w:rPr>
        <w:t>Consultations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Initial Health Consultation (60 min)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$165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Follow-Up Consultation (30 min)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$85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Extended Follow-Up (45 min)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$120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Specialist Referral Consultation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$110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$100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Telehealth Visit (30 min)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$70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Urgent Same-Day Visit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$150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Second Opinion Review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$249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$200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$185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Diagnostics &amp; Labs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Basic Blood Panel (CBC, CMP)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$75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Comprehensive Metabolic Panel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$125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Advanced Lipid Panel + ApoB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$155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Thyroid Panel (TSH, T3, T4, antibodies)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$110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$100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Hormone Panel (Basic)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$155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DUTCH Complete Hormone Test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Food Sensitivity Panel (96 foods)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$249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GI-MAP Stool Analysis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$349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Genetic Testing (SNP panel)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Body Composition Scan (InBody)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VO2 Max Testing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Continuous Glucose Monitor (14-day)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$125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IV Therapy &amp; Injections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Myers’ Cocktail IV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NAD+ IV Infusion (250mg)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High-Dose Vitamin C IV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Glutathione IV Push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Hydration IV (1L saline + electrolytes)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Immunity IV Drip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$189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Beauty &amp; Glow IV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$219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B-12 Injection (Methylcobalamin)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$35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$28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$25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MIC Lipotropic Injection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Biotin Injection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$40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Vitamin D Injection (50,000 IU)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Coaching &amp; Counseling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Health Coaching Session (30 min)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$60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Health Coaching Session (60 min)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$110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$100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Nutrition Counseling (45 min)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$80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Behavioral Health Counseling (50 min)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$130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Group Coaching Session (per person)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Couples Wellness Session (60 min)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Body &amp; Recovery Therapies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Cryotherapy Session (whole body)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$65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Compression Therapy (NormaTec)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Infrared Sauna Session (30 min)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Red Light Therapy (20 min)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$35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Hyperbaric Oxygen Therapy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Acupuncture Session (60 min)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$85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Cupping Therapy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Lymphatic Drainage Massage (60 min)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Aesthetic &amp; Skin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PRP Facial (Vampire Facial)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$499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Microneedling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LED Light Therapy Facial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$89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Chemical Peel (medical-grade)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Botox (per unit)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  <w:tr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Dermal Filler (per syringe)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$599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$N/A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5: CPT Code Schedule (78 Codes)</w:t>
      </w:r>
    </w:p>
    <w:p>
      <w:r>
        <w:t>Current and 2025 projected fee schedule. Rates reflect CMS Medicare Physician Fee Schedule adjustments and commercial payer negotiations.</w:t>
      </w:r>
    </w:p>
    <w:p>
      <w:pPr>
        <w:pStyle w:val="Heading2"/>
      </w:pPr>
      <w:r>
        <w:rPr>
          <w:rFonts w:ascii="Calibri" w:hAnsi="Calibri"/>
          <w:color w:val="1F4E79"/>
        </w:rPr>
        <w:t>Evaluation &amp;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99201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New Patient, Level 1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$68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99202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New Patient, Level 2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$110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$115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99203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New Patient, Level 3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$183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99204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New Patient, Level 4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$255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$267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99205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New Patient, Level 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$340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$356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99211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Established, Level 1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99212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Established, Level 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99213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Established, Level 3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$120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99214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Established, Level 4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$170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$178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99215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Office Visit — Established, Level 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$240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$251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99241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Consultation — Level 1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$120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$126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99242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Consultation — Level 2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$183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99243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Consultation — Level 3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$230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$241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99244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Consultation — Level 4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$310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$325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99245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Consultation — Level 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$400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$419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Telehealth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99421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Online Digital E/M — 5-10 min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$37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99422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Online Digital E/M — 11-20 min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$70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99423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Online Digital E/M — 21+ min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$105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$110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99441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Telephone E/M — 5-10 min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99442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Telephone E/M — 11-20 min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$89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99443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Telephone E/M — 21-30 min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$131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Preventive Medicine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99381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Visit — New, Infant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$152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99385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Visit — New, 18-39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$204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99386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Visit — New, 40-64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$215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$225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99387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Visit — New, 65+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$235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$246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99391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Visit — Est., Infant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$120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$126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99395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Visit — Est., 18-39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$165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$173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99396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Visit — Est., 40-64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$185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$194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99397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Visit — Est., 65+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$200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$209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Laboratory &amp; Diagnostics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36415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Venipuncture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$13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80048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Basic Metabolic Panel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$22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80050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General Health Panel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$68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80053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Comprehensive Metabolic Panel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$28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80061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Lipid Panel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$37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82306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Vitamin D, 25-Hydroxy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$58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82607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Vitamin B-12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$34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82728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Ferritin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$28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83036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Hemoglobin A1c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$23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84439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Free Thyroxine (T4)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$26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84443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TSH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$34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84481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Free Triiodothyronine (T3)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85025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CBC with Differential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$18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86141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C-Reactive Protein, hs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$28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82670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Estradiol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$58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84402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Testosterone, Free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84403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Testosterone, Total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$58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82627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DHEA-Sulfate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84144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Progesterone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$44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86235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Nuclear Antigen Antibody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$37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Injections &amp; Infusions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96365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IV Infusion — Initial (up to 1 hr)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$152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96366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IV Infusion — Each Additional Hour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$58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96372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Therapeutic Injection (IM/SQ)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$26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96374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IV Push, Single Drug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$68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96375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IV Push, Each Additional Drug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$37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96376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IV Infusion, Each Additional Sequential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J3420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Vitamin B-12 Injection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$16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J3301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Triamcinolone Injection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$20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$21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J0670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Mepivacaine Injection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$18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Procedures &amp; Therapies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97140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Manual Therapy (15 min)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$47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97110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Therapeutic Exercise (15 min)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$40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$42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97530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Therapeutic Activities (15 min)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$44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97014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Electrical Stimulation (unattended)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$28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97035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Ultrasound Therapy (15 min)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$32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$34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97810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Acupuncture w/o Electrical — Initial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$68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97811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Acupuncture w/o Electrical — Additional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$40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$42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97813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Acupuncture w/ Electrical — Initial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97814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Acupuncture w/ Electrical — Additional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$47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Health &amp;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403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96150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Health &amp; Behavior Assessment (initial)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96151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Health &amp; Behavior Assessment (follow-up)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$60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96152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Health &amp; Behavior Intervention (initial)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$68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96153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Health &amp; Behavior Intervention (group)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$30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$31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96154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H&amp;B Intervention w/ Family (initial)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98960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Self-Management Education (indiv, 30 min)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98961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Self-Management Education (group 2-4)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$26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98962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Self-Management Education (group 5-8)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$18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99401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Counseling (15 min)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$47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99402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Counseling (30 min)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$79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99403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Counseling (45 min)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$105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$110</w:t>
            </w:r>
          </w:p>
        </w:tc>
      </w:tr>
      <w:tr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99404</w:t>
            </w:r>
          </w:p>
        </w:tc>
        <w:tc>
          <w:tcPr>
            <w:tcW w:type="dxa" w:w="403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Preventive Counseling (60 min)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$135</w:t>
            </w:r>
          </w:p>
        </w:tc>
        <w:tc>
          <w:tcPr>
            <w:tcW w:type="dxa" w:w="1296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$141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6: Platform Overview (10 Tabs)</w:t>
      </w:r>
    </w:p>
    <w:p>
      <w:r>
        <w:t>The Shape The Wave Longevity™ management platform is organized into ten primary tabs, each serving a distinct operational, clinical, or patient-facing function. The architecture spans internal operations, patient engagement, AI-driven wellness, third-party integrations, compliance management, and staff training.</w:t>
      </w:r>
    </w:p>
    <w:p>
      <w:pPr>
        <w:pStyle w:val="Heading2"/>
      </w:pPr>
      <w:r>
        <w:rPr>
          <w:rFonts w:ascii="Calibri" w:hAnsi="Calibri"/>
          <w:color w:val="1F4E79"/>
        </w:rPr>
        <w:t>Tab 1: Dashboard</w:t>
      </w:r>
    </w:p>
    <w:p>
      <w:r>
        <w:t>The central command center providing real-time visibility into all business metrics and clinical performance.</w:t>
      </w:r>
    </w:p>
    <w:p>
      <w:pPr>
        <w:pStyle w:val="Heading3"/>
      </w:pPr>
      <w:r>
        <w:rPr>
          <w:rFonts w:ascii="Calibri" w:hAnsi="Calibri"/>
          <w:color w:val="1F4E79"/>
        </w:rPr>
        <w:t>Input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676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Date Range Selector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Filter all dashboard data by custom date range, presets (MTD, QTD, YTD, Last 30/60/90 days)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Location Selector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Multi-location dropdown (for future expansion beyond Gurnee)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Provider Filter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Filter metrics by individual provider or all providers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Membership Tier Filter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View KPIs segmented by membership tier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Financial KPIs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KPI</w:t>
            </w:r>
          </w:p>
        </w:tc>
        <w:tc>
          <w:tcPr>
            <w:tcW w:type="dxa" w:w="57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Active Members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Total active memberships by tier with MoM growth %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Monthly Recurring Revenue (MRR)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Sum of all active membership fees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Average Revenue Per Member (ARPM)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MRR / Active Members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Churn Rate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Members lost / Total members at start of period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Lifetime Value (LTV)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ARPM x Avg. member lifespan in months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New Members (Period)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Count of new sign-ups in selected period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Referral Conversion Rate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Referred leads who converted / Total referrals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Credit Utilization Rate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Credits used / Credits available across all tiers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Net Promoter Score (NPS)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Patient satisfaction survey aggregation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Revenue per Visit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Total revenue / Total patient visits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Revenue Tracking &amp; Projections</w:t>
      </w:r>
    </w:p>
    <w:p>
      <w:pPr>
        <w:pStyle w:val="ListBullet"/>
        <w:ind w:left="720"/>
      </w:pPr>
      <w:r>
        <w:t>Membership Distribution — pie/donut chart by tier</w:t>
      </w:r>
    </w:p>
    <w:p>
      <w:pPr>
        <w:pStyle w:val="ListBullet"/>
        <w:ind w:left="720"/>
      </w:pPr>
      <w:r>
        <w:t>Bundle Sales — top 10 bundles by volume and revenue (bar chart)</w:t>
      </w:r>
    </w:p>
    <w:p>
      <w:pPr>
        <w:pStyle w:val="ListBullet"/>
        <w:ind w:left="720"/>
      </w:pPr>
      <w:r>
        <w:t>Package Enrollment — active packages by category with completion rates</w:t>
      </w:r>
    </w:p>
    <w:p>
      <w:pPr>
        <w:pStyle w:val="ListBullet"/>
        <w:ind w:left="720"/>
      </w:pPr>
      <w:r>
        <w:t>Service Utilization — heatmap of top services by day/time</w:t>
      </w:r>
    </w:p>
    <w:p>
      <w:pPr>
        <w:pStyle w:val="ListBullet"/>
        <w:ind w:left="720"/>
      </w:pPr>
      <w:r>
        <w:t>CPT Code Frequency — top 20 billed codes with revenue contribution</w:t>
      </w:r>
    </w:p>
    <w:p>
      <w:pPr>
        <w:pStyle w:val="ListBullet"/>
        <w:ind w:left="720"/>
      </w:pPr>
      <w:r>
        <w:t>Financial Projections — 12-month forward revenue projection (line chart with confidence interval)</w:t>
      </w:r>
    </w:p>
    <w:p>
      <w:pPr>
        <w:pStyle w:val="ListBullet"/>
        <w:ind w:left="720"/>
      </w:pPr>
      <w:r>
        <w:t>Sales Pipeline — leads, consultations, conversions funnel</w:t>
      </w:r>
    </w:p>
    <w:p>
      <w:pPr>
        <w:pStyle w:val="ListBullet"/>
        <w:ind w:left="720"/>
      </w:pPr>
      <w:r>
        <w:t>Revenue Chart — stacked area chart: Memberships + Bundles + Packages + A La Carte + Insurance</w:t>
      </w:r>
    </w:p>
    <w:p>
      <w:pPr>
        <w:pStyle w:val="Heading2"/>
      </w:pPr>
      <w:r>
        <w:rPr>
          <w:rFonts w:ascii="Calibri" w:hAnsi="Calibri"/>
          <w:color w:val="1F4E79"/>
        </w:rPr>
        <w:t>Tab 2: Patients</w:t>
      </w:r>
    </w:p>
    <w:p>
      <w:r>
        <w:t>Patient lifecycle management from intake through ongoing care.</w:t>
      </w:r>
    </w:p>
    <w:p>
      <w:pPr>
        <w:pStyle w:val="Heading3"/>
      </w:pPr>
      <w:r>
        <w:rPr>
          <w:rFonts w:ascii="Calibri" w:hAnsi="Calibri"/>
          <w:color w:val="1F4E79"/>
        </w:rPr>
        <w:t>Intake 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676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Demographics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Name, DOB, gender, address, phone, email, emergency contact, preferred language, pronouns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Medical History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Conditions, medications, allergies, surgeries, family history, social history (alcohol, tobacco, substances)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Lifestyle Assessment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Sleep quality, stress level, exercise frequency, nutrition habits, screen time, hydration, supplement use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Goals &amp; Motivations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Primary health goals (weight, energy, longevity, performance, aesthetics), motivation score, timeline expectations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Consent &amp; Agreements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HIPAA acknowledgment, telehealth consent, financial policy, treatment consent, data-sharing preferences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Wearable Integration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Connect Oura, Apple Health, Fitbit, Garmin, Whoop, CGM data feeds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Scheduling &amp; Booking</w:t>
      </w:r>
    </w:p>
    <w:p>
      <w:pPr>
        <w:pStyle w:val="ListBullet"/>
        <w:ind w:left="720"/>
      </w:pPr>
      <w:r>
        <w:t>Real-time provider availability calendar</w:t>
      </w:r>
    </w:p>
    <w:p>
      <w:pPr>
        <w:pStyle w:val="ListBullet"/>
        <w:ind w:left="720"/>
      </w:pPr>
      <w:r>
        <w:t>Service-type filtering (consult, IV, coaching, lab, procedure)</w:t>
      </w:r>
    </w:p>
    <w:p>
      <w:pPr>
        <w:pStyle w:val="ListBullet"/>
        <w:ind w:left="720"/>
      </w:pPr>
      <w:r>
        <w:t>Credit auto-deduction for membership holders</w:t>
      </w:r>
    </w:p>
    <w:p>
      <w:pPr>
        <w:pStyle w:val="ListBullet"/>
        <w:ind w:left="720"/>
      </w:pPr>
      <w:r>
        <w:t>Waitlist management with auto-notification</w:t>
      </w:r>
    </w:p>
    <w:p>
      <w:pPr>
        <w:pStyle w:val="ListBullet"/>
        <w:ind w:left="720"/>
      </w:pPr>
      <w:r>
        <w:t>Recurring appointment scheduling (weekly, bi-weekly, monthly)</w:t>
      </w:r>
    </w:p>
    <w:p>
      <w:pPr>
        <w:pStyle w:val="ListBullet"/>
        <w:ind w:left="720"/>
      </w:pPr>
      <w:r>
        <w:t>Intake form completion reminder before first visit</w:t>
      </w:r>
    </w:p>
    <w:p>
      <w:pPr>
        <w:pStyle w:val="ListBullet"/>
        <w:ind w:left="720"/>
      </w:pPr>
      <w:r>
        <w:t>Automated appointment reminders (SMS + email) at 48hr, 24hr, 2hr</w:t>
      </w:r>
    </w:p>
    <w:p>
      <w:pPr>
        <w:pStyle w:val="Heading3"/>
      </w:pPr>
      <w:r>
        <w:rPr>
          <w:rFonts w:ascii="Calibri" w:hAnsi="Calibri"/>
          <w:color w:val="1F4E79"/>
        </w:rPr>
        <w:t>Patient Portal Mockup</w:t>
      </w:r>
    </w:p>
    <w:p>
      <w:pPr>
        <w:pStyle w:val="ListBullet"/>
        <w:ind w:left="720"/>
      </w:pPr>
      <w:r>
        <w:t>Mirror dashboard — personal health metrics, trends, goals</w:t>
      </w:r>
    </w:p>
    <w:p>
      <w:pPr>
        <w:pStyle w:val="ListBullet"/>
        <w:ind w:left="720"/>
      </w:pPr>
      <w:r>
        <w:t>Lab results viewer with reference ranges and provider notes</w:t>
      </w:r>
    </w:p>
    <w:p>
      <w:pPr>
        <w:pStyle w:val="ListBullet"/>
        <w:ind w:left="720"/>
      </w:pPr>
      <w:r>
        <w:t>Secure messaging with care team</w:t>
      </w:r>
    </w:p>
    <w:p>
      <w:pPr>
        <w:pStyle w:val="ListBullet"/>
        <w:ind w:left="720"/>
      </w:pPr>
      <w:r>
        <w:t>Membership status, credit balance, billing history</w:t>
      </w:r>
    </w:p>
    <w:p>
      <w:pPr>
        <w:pStyle w:val="ListBullet"/>
        <w:ind w:left="720"/>
      </w:pPr>
      <w:r>
        <w:t>Document upload (insurance cards, external records)</w:t>
      </w:r>
    </w:p>
    <w:p>
      <w:pPr>
        <w:pStyle w:val="ListBullet"/>
        <w:ind w:left="720"/>
      </w:pPr>
      <w:r>
        <w:t>Educational content library (curated by membership tier)</w:t>
      </w:r>
    </w:p>
    <w:p>
      <w:pPr>
        <w:pStyle w:val="ListBullet"/>
        <w:ind w:left="720"/>
      </w:pPr>
      <w:r>
        <w:t>Referral link generator with tracking</w:t>
      </w:r>
    </w:p>
    <w:p>
      <w:pPr>
        <w:pStyle w:val="Heading2"/>
      </w:pPr>
      <w:r>
        <w:rPr>
          <w:rFonts w:ascii="Calibri" w:hAnsi="Calibri"/>
          <w:color w:val="1F4E79"/>
        </w:rPr>
        <w:t>Tab 3: Operations</w:t>
      </w:r>
    </w:p>
    <w:p>
      <w:r>
        <w:t>Day-to-day clinic management tools for staff, inventory, and billing.</w:t>
      </w:r>
    </w:p>
    <w:p>
      <w:pPr>
        <w:pStyle w:val="Heading3"/>
      </w:pPr>
      <w:r>
        <w:rPr>
          <w:rFonts w:ascii="Calibri" w:hAnsi="Calibri"/>
          <w:color w:val="1F4E79"/>
        </w:rPr>
        <w:t>Staff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76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Provider Calendar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Drag-and-drop scheduling, shift management, PTO tracking, overtime alerts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Room Assignment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Treatment room allocation by service type, real-time availability board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Staff Utilization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Hours booked / Hours available by provider, weekly and monthly views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Credential Tracking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License expiration alerts, CE credit tracking, insurance panel status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Payroll Integration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Hours worked export, commission tracking (for referral bonuses), overtime calculation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Inventory Tracker (12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76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Product Catalog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All supplements, skincare, IV supplies, injection supplies with SKU, cost, retail price, margin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Stock Levels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Real-time quantity on hand, reorder point alerts, par level management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Purchase Orders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Auto-generated POs when stock hits reorder point, vendor management, approval workflow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Expiration Tracking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FEFO (First Expired, First Out) alerts, waste reporting, lot number tracking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Bundle Assembly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Track component inventory deduction when bundles are sold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Shrinkage &amp; Audit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Physical count reconciliation, variance reporting, audit trail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Inventory Items Tracked</w:t>
      </w:r>
    </w:p>
    <w:p>
      <w:pPr>
        <w:pStyle w:val="ListBullet"/>
        <w:ind w:left="720"/>
      </w:pPr>
      <w:r>
        <w:t>IV solution bags (Normal Saline, Lactated Ringer’s)</w:t>
      </w:r>
    </w:p>
    <w:p>
      <w:pPr>
        <w:pStyle w:val="ListBullet"/>
        <w:ind w:left="720"/>
      </w:pPr>
      <w:r>
        <w:t>Vitamin/mineral vials (B-12, Glutathione, Vitamin C, NAD+, MIC)</w:t>
      </w:r>
    </w:p>
    <w:p>
      <w:pPr>
        <w:pStyle w:val="ListBullet"/>
        <w:ind w:left="720"/>
      </w:pPr>
      <w:r>
        <w:t>Injection supplies (syringes, needles, alcohol swabs, sharps containers)</w:t>
      </w:r>
    </w:p>
    <w:p>
      <w:pPr>
        <w:pStyle w:val="ListBullet"/>
        <w:ind w:left="720"/>
      </w:pPr>
      <w:r>
        <w:t>Supplement inventory (all bundle components — 22 bundle SKU groups)</w:t>
      </w:r>
    </w:p>
    <w:p>
      <w:pPr>
        <w:pStyle w:val="ListBullet"/>
        <w:ind w:left="720"/>
      </w:pPr>
      <w:r>
        <w:t>Skincare products (retinol, vitamin C serum, HA, SPF, peptide cream)</w:t>
      </w:r>
    </w:p>
    <w:p>
      <w:pPr>
        <w:pStyle w:val="ListBullet"/>
        <w:ind w:left="720"/>
      </w:pPr>
      <w:r>
        <w:t>Lab supplies (blood draw kits, specimen containers, requisition forms)</w:t>
      </w:r>
    </w:p>
    <w:p>
      <w:pPr>
        <w:pStyle w:val="ListBullet"/>
        <w:ind w:left="720"/>
      </w:pPr>
      <w:r>
        <w:t>Cryotherapy consumables (liquid nitrogen, protective gear)</w:t>
      </w:r>
    </w:p>
    <w:p>
      <w:pPr>
        <w:pStyle w:val="ListBullet"/>
        <w:ind w:left="720"/>
      </w:pPr>
      <w:r>
        <w:t>Compression therapy sleeves (NormaTec attachments, sizes S–XL)</w:t>
      </w:r>
    </w:p>
    <w:p>
      <w:pPr>
        <w:pStyle w:val="ListBullet"/>
        <w:ind w:left="720"/>
      </w:pPr>
      <w:r>
        <w:t>Red-light therapy panels (bulb replacement schedule, cleaning supplies)</w:t>
      </w:r>
    </w:p>
    <w:p>
      <w:pPr>
        <w:pStyle w:val="ListBullet"/>
        <w:ind w:left="720"/>
      </w:pPr>
      <w:r>
        <w:t>Branded merchandise (water bottles, bags, apparel — starter kit components)</w:t>
      </w:r>
    </w:p>
    <w:p>
      <w:pPr>
        <w:pStyle w:val="ListBullet"/>
        <w:ind w:left="720"/>
      </w:pPr>
      <w:r>
        <w:t>Office/clinical supplies (exam table paper, gloves, gowns, sanitizer)</w:t>
      </w:r>
    </w:p>
    <w:p>
      <w:pPr>
        <w:pStyle w:val="ListBullet"/>
        <w:ind w:left="720"/>
      </w:pPr>
      <w:r>
        <w:t>Wearable devices (Oura Rings, CGMs — Concierge tier inventory)</w:t>
      </w:r>
    </w:p>
    <w:p/>
    <w:p>
      <w:pPr>
        <w:pStyle w:val="Heading3"/>
      </w:pPr>
      <w:r>
        <w:rPr>
          <w:rFonts w:ascii="Calibri" w:hAnsi="Calibri"/>
          <w:color w:val="1F4E79"/>
        </w:rPr>
        <w:t>Billing Pipeline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76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Claim Generation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Auto-populate claims from encounter notes with CPT/ICD-10 codes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Eligibility Verification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Real-time insurance eligibility check before appointments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Claim Scrubbing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Pre-submission error detection (missing modifiers, invalid code pairs)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Submission Tracking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Claim status dashboard — submitted, pending, paid, denied, appealed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Denial Management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Denial reason categorization, auto-appeal letter generation, follow-up tracking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Patient Billing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Self-pay invoicing, payment plans, credit card on file, auto-charge for memberships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Aging Report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A/R aging buckets (0-30, 31-60, 61-90, 90+) by payer and patient</w:t>
            </w:r>
          </w:p>
        </w:tc>
      </w:tr>
      <w:tr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Revenue Reconciliation</w:t>
            </w:r>
          </w:p>
        </w:tc>
        <w:tc>
          <w:tcPr>
            <w:tcW w:type="dxa" w:w="676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Match ERA/EOB to claims, post payments, identify underpayments</w:t>
            </w:r>
          </w:p>
        </w:tc>
      </w:tr>
    </w:tbl>
    <w:p>
      <w:pPr>
        <w:pStyle w:val="Heading2"/>
      </w:pPr>
      <w:r>
        <w:rPr>
          <w:rFonts w:ascii="Calibri" w:hAnsi="Calibri"/>
          <w:color w:val="1F4E79"/>
        </w:rPr>
        <w:t>Tab 4: Strategy</w:t>
      </w:r>
    </w:p>
    <w:p>
      <w:r>
        <w:t>Business intelligence and strategic planning tools.</w:t>
      </w:r>
    </w:p>
    <w:p>
      <w:pPr>
        <w:pStyle w:val="Heading3"/>
      </w:pPr>
      <w:r>
        <w:rPr>
          <w:rFonts w:ascii="Calibri" w:hAnsi="Calibri"/>
          <w:color w:val="1F4E79"/>
        </w:rPr>
        <w:t>ROI Calculator</w:t>
      </w:r>
    </w:p>
    <w:p>
      <w:pPr>
        <w:pStyle w:val="ListBullet"/>
        <w:ind w:left="720"/>
      </w:pPr>
      <w:r>
        <w:t>Input: marketing spend by channel (Google Ads, Meta, local events, referral bonuses)</w:t>
      </w:r>
    </w:p>
    <w:p>
      <w:pPr>
        <w:pStyle w:val="ListBullet"/>
        <w:ind w:left="720"/>
      </w:pPr>
      <w:r>
        <w:t>Input: cost per lead, conversion rate, average new member value</w:t>
      </w:r>
    </w:p>
    <w:p>
      <w:pPr>
        <w:pStyle w:val="ListBullet"/>
        <w:ind w:left="720"/>
      </w:pPr>
      <w:r>
        <w:t>Output: projected ROI per channel, blended CAC, payback period</w:t>
      </w:r>
    </w:p>
    <w:p>
      <w:pPr>
        <w:pStyle w:val="ListBullet"/>
        <w:ind w:left="720"/>
      </w:pPr>
      <w:r>
        <w:t>Output: break-even timeline for new service/equipment investments</w:t>
      </w:r>
    </w:p>
    <w:p>
      <w:pPr>
        <w:pStyle w:val="ListBullet"/>
        <w:ind w:left="720"/>
      </w:pPr>
      <w:r>
        <w:t>Scenario modeling: best case, expected, worst case with adjustable assumptions</w:t>
      </w:r>
    </w:p>
    <w:p>
      <w:pPr>
        <w:pStyle w:val="ListBullet"/>
        <w:ind w:left="720"/>
      </w:pPr>
      <w:r>
        <w:t>Historical ROI trend comparison</w:t>
      </w:r>
    </w:p>
    <w:p>
      <w:pPr>
        <w:pStyle w:val="Heading3"/>
      </w:pPr>
      <w:r>
        <w:rPr>
          <w:rFonts w:ascii="Calibri" w:hAnsi="Calibri"/>
          <w:color w:val="1F4E79"/>
        </w:rPr>
        <w:t>Competitor Comparison</w:t>
      </w:r>
    </w:p>
    <w:p>
      <w:pPr>
        <w:pStyle w:val="ListBullet"/>
        <w:ind w:left="720"/>
      </w:pPr>
      <w:r>
        <w:t>Local competitor pricing database (within 25-mile radius)</w:t>
      </w:r>
    </w:p>
    <w:p>
      <w:pPr>
        <w:pStyle w:val="ListBullet"/>
        <w:ind w:left="720"/>
      </w:pPr>
      <w:r>
        <w:t>Service-by-service price comparison matrix</w:t>
      </w:r>
    </w:p>
    <w:p>
      <w:pPr>
        <w:pStyle w:val="ListBullet"/>
        <w:ind w:left="720"/>
      </w:pPr>
      <w:r>
        <w:t>Market positioning map (price vs. service breadth)</w:t>
      </w:r>
    </w:p>
    <w:p>
      <w:pPr>
        <w:pStyle w:val="ListBullet"/>
        <w:ind w:left="720"/>
      </w:pPr>
      <w:r>
        <w:t>Mystery shopping data repository</w:t>
      </w:r>
    </w:p>
    <w:p>
      <w:pPr>
        <w:pStyle w:val="ListBullet"/>
        <w:ind w:left="720"/>
      </w:pPr>
      <w:r>
        <w:t>Competitive advantage scorecard</w:t>
      </w:r>
    </w:p>
    <w:p>
      <w:pPr>
        <w:pStyle w:val="ListBullet"/>
        <w:ind w:left="720"/>
      </w:pPr>
      <w:r>
        <w:t>Share-of-voice tracking (online reviews, social mentions)</w:t>
      </w:r>
    </w:p>
    <w:p>
      <w:pPr>
        <w:pStyle w:val="Heading3"/>
      </w:pPr>
      <w:r>
        <w:rPr>
          <w:rFonts w:ascii="Calibri" w:hAnsi="Calibri"/>
          <w:color w:val="1F4E79"/>
        </w:rPr>
        <w:t>Market Sizing</w:t>
      </w:r>
    </w:p>
    <w:p>
      <w:pPr>
        <w:pStyle w:val="ListBullet"/>
        <w:ind w:left="720"/>
      </w:pPr>
      <w:r>
        <w:t>Total Addressable Market (TAM): wellness industry + functional medicine + longevity market within service radius</w:t>
      </w:r>
    </w:p>
    <w:p>
      <w:pPr>
        <w:pStyle w:val="ListBullet"/>
        <w:ind w:left="720"/>
      </w:pPr>
      <w:r>
        <w:t>Serviceable Addressable Market (SAM): demographic and psychographic filtering</w:t>
      </w:r>
    </w:p>
    <w:p>
      <w:pPr>
        <w:pStyle w:val="ListBullet"/>
        <w:ind w:left="720"/>
      </w:pPr>
      <w:r>
        <w:t>Serviceable Obtainable Market (SOM): realistic capture rate by tier</w:t>
      </w:r>
    </w:p>
    <w:p>
      <w:pPr>
        <w:pStyle w:val="ListBullet"/>
        <w:ind w:left="720"/>
      </w:pPr>
      <w:r>
        <w:t>Census data integration (age, income, health insurance coverage)</w:t>
      </w:r>
    </w:p>
    <w:p>
      <w:pPr>
        <w:pStyle w:val="ListBullet"/>
        <w:ind w:left="720"/>
      </w:pPr>
      <w:r>
        <w:t>Growth trend projections (industry CAGR applied to local market)</w:t>
      </w:r>
    </w:p>
    <w:p>
      <w:pPr>
        <w:pStyle w:val="ListBullet"/>
        <w:ind w:left="720"/>
      </w:pPr>
      <w:r>
        <w:t>Penetration rate tracking vs. market opportunity</w:t>
      </w:r>
    </w:p>
    <w:p>
      <w:pPr>
        <w:pStyle w:val="Heading3"/>
      </w:pPr>
      <w:r>
        <w:rPr>
          <w:rFonts w:ascii="Calibri" w:hAnsi="Calibri"/>
          <w:color w:val="1F4E79"/>
        </w:rPr>
        <w:t>Unit Economics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57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Calculation / Description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Customer Acquisition Cost (CAC)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Total marketing + sales cost / New members acquired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Lifetime Value (LTV)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ARPM x Gross Margin % x Avg. Lifespan (months)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LTV:CAC Ratio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Target &gt; 3:1; alerts if dropping below threshold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Payback Period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Months to recover CAC from membership contribution margin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Gross Margin by Service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Revenue - Direct Cost for each of 50 services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Break-Even Volume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Fixed costs / Weighted avg. contribution margin per visit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Revenue per Square Foot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Total revenue / Clinic square footage (benchmarked to industry avg.)</w:t>
            </w:r>
          </w:p>
        </w:tc>
      </w:tr>
    </w:tbl>
    <w:p>
      <w:pPr>
        <w:pStyle w:val="Heading2"/>
      </w:pPr>
      <w:r>
        <w:rPr>
          <w:rFonts w:ascii="Calibri" w:hAnsi="Calibri"/>
          <w:color w:val="1F4E79"/>
        </w:rPr>
        <w:t>Tab 5: Marketing</w:t>
      </w:r>
    </w:p>
    <w:p>
      <w:r>
        <w:t>Patient acquisition, retention, and engagement tools.</w:t>
      </w:r>
    </w:p>
    <w:p>
      <w:pPr>
        <w:pStyle w:val="Heading3"/>
      </w:pPr>
      <w:r>
        <w:rPr>
          <w:rFonts w:ascii="Calibri" w:hAnsi="Calibri"/>
          <w:color w:val="1F4E79"/>
        </w:rPr>
        <w:t>Acquisition Funnel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720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Tracked Metrics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Awareness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Website visits, social impressions, ad reach, local event attendance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Interest</w:t>
            </w:r>
          </w:p>
        </w:tc>
        <w:tc>
          <w:tcPr>
            <w:tcW w:type="dxa" w:w="72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Lead magnet downloads, webinar registrations, quiz completions, blog engagement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Consideration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Free consultation bookings, membership comparison page views, chat inquiries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Conversion</w:t>
            </w:r>
          </w:p>
        </w:tc>
        <w:tc>
          <w:tcPr>
            <w:tcW w:type="dxa" w:w="72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Membership sign-ups, package purchases, first appointment bookings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Retention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Credit utilization, appointment frequency, NPS, renewal rate, upgrade rate</w:t>
            </w:r>
          </w:p>
        </w:tc>
      </w:tr>
      <w:tr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Advocacy</w:t>
            </w:r>
          </w:p>
        </w:tc>
        <w:tc>
          <w:tcPr>
            <w:tcW w:type="dxa" w:w="72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Referral link shares, Google reviews, social media mentions, testimonials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6 Campaign Types</w:t>
      </w:r>
    </w:p>
    <w:p>
      <w:pPr>
        <w:pStyle w:val="ListBullet"/>
        <w:ind w:left="720"/>
      </w:pPr>
      <w:r>
        <w:t>New Year Transformation — January push targeting weight-loss and health-reset goals</w:t>
      </w:r>
    </w:p>
    <w:p>
      <w:pPr>
        <w:pStyle w:val="ListBullet"/>
        <w:ind w:left="720"/>
      </w:pPr>
      <w:r>
        <w:t>Summer Body Prep — Spring campaign with body-comp scans, IV hydration, and aesthetic packages</w:t>
      </w:r>
    </w:p>
    <w:p>
      <w:pPr>
        <w:pStyle w:val="ListBullet"/>
        <w:ind w:left="720"/>
      </w:pPr>
      <w:r>
        <w:t>Back-to-School Wellness — Fall family health assessments and immune-boosting bundles</w:t>
      </w:r>
    </w:p>
    <w:p>
      <w:pPr>
        <w:pStyle w:val="ListBullet"/>
        <w:ind w:left="720"/>
      </w:pPr>
      <w:r>
        <w:t>Holiday Detox — December/January recovery with detox IV, gut health, and coaching</w:t>
      </w:r>
    </w:p>
    <w:p>
      <w:pPr>
        <w:pStyle w:val="ListBullet"/>
        <w:ind w:left="720"/>
      </w:pPr>
      <w:r>
        <w:t>Referral Blitz — Quarterly 2-week bonus referral campaigns with tiered rewards</w:t>
      </w:r>
    </w:p>
    <w:p>
      <w:pPr>
        <w:pStyle w:val="ListBullet"/>
        <w:ind w:left="720"/>
      </w:pPr>
      <w:r>
        <w:t>Community Health Fair — Local event sponsorship with free screenings and lead capture</w:t>
      </w:r>
    </w:p>
    <w:p>
      <w:pPr>
        <w:pStyle w:val="Heading3"/>
      </w:pPr>
      <w:r>
        <w:rPr>
          <w:rFonts w:ascii="Calibri" w:hAnsi="Calibri"/>
          <w:color w:val="1F4E79"/>
        </w:rPr>
        <w:t>Email Templates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Template</w:t>
            </w:r>
          </w:p>
        </w:tc>
        <w:tc>
          <w:tcPr>
            <w:tcW w:type="dxa" w:w="648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Welcome Series (5 emails)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Onboarding drip: welcome, portal setup, first appointment prep, benefits overview, coach introduction</w:t>
            </w:r>
          </w:p>
        </w:tc>
      </w:tr>
      <w:tr>
        <w:tc>
          <w:tcPr>
            <w:tcW w:type="dxa" w:w="28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Monthly Newsletter</w:t>
            </w:r>
          </w:p>
        </w:tc>
        <w:tc>
          <w:tcPr>
            <w:tcW w:type="dxa" w:w="64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Health tips, new services, member spotlight, seasonal offers, upcoming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Re-engagement Series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For members with declining visit frequency: 30/60/90 day inactivity triggers</w:t>
            </w:r>
          </w:p>
        </w:tc>
      </w:tr>
      <w:tr>
        <w:tc>
          <w:tcPr>
            <w:tcW w:type="dxa" w:w="28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Upgrade Nudge</w:t>
            </w:r>
          </w:p>
        </w:tc>
        <w:tc>
          <w:tcPr>
            <w:tcW w:type="dxa" w:w="64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Personalized tier upgrade suggestions based on usage patterns and credit utilization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Lab Results Ready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Notification with portal link, prep for review appointment</w:t>
            </w:r>
          </w:p>
        </w:tc>
      </w:tr>
      <w:tr>
        <w:tc>
          <w:tcPr>
            <w:tcW w:type="dxa" w:w="28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Birthday &amp; Anniversary</w:t>
            </w:r>
          </w:p>
        </w:tc>
        <w:tc>
          <w:tcPr>
            <w:tcW w:type="dxa" w:w="64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Personalized offers on member birthday and enrollment anniversary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Referral Thank You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Bonus confirmation, status of referred friend’s enrollment</w:t>
            </w:r>
          </w:p>
        </w:tc>
      </w:tr>
      <w:tr>
        <w:tc>
          <w:tcPr>
            <w:tcW w:type="dxa" w:w="28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Renewal Reminder</w:t>
            </w:r>
          </w:p>
        </w:tc>
        <w:tc>
          <w:tcPr>
            <w:tcW w:type="dxa" w:w="648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30-day and 7-day renewal reminders with benefit summary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Content Calendar</w:t>
      </w:r>
    </w:p>
    <w:p>
      <w:pPr>
        <w:pStyle w:val="ListBullet"/>
        <w:ind w:left="720"/>
      </w:pPr>
      <w:r>
        <w:t>12-month editorial calendar with weekly themes aligned to business goals</w:t>
      </w:r>
    </w:p>
    <w:p>
      <w:pPr>
        <w:pStyle w:val="ListBullet"/>
        <w:ind w:left="720"/>
      </w:pPr>
      <w:r>
        <w:t>Channel mapping: blog, Instagram, Facebook, YouTube, TikTok, email, in-clinic signage</w:t>
      </w:r>
    </w:p>
    <w:p>
      <w:pPr>
        <w:pStyle w:val="ListBullet"/>
        <w:ind w:left="720"/>
      </w:pPr>
      <w:r>
        <w:t>Content pillars: Education, Inspiration, Social Proof, Promotion, Community</w:t>
      </w:r>
    </w:p>
    <w:p>
      <w:pPr>
        <w:pStyle w:val="ListBullet"/>
        <w:ind w:left="720"/>
      </w:pPr>
      <w:r>
        <w:t>Monthly content quotas: 4 blog posts, 12 social posts, 2 videos, 4 emails, 1 webinar</w:t>
      </w:r>
    </w:p>
    <w:p>
      <w:pPr>
        <w:pStyle w:val="ListBullet"/>
        <w:ind w:left="720"/>
      </w:pPr>
      <w:r>
        <w:t>Influencer/partner collaboration tracker</w:t>
      </w:r>
    </w:p>
    <w:p>
      <w:pPr>
        <w:pStyle w:val="ListBullet"/>
        <w:ind w:left="720"/>
      </w:pPr>
      <w:r>
        <w:t>Content performance analytics (engagement, traffic, conversion attribution)</w:t>
      </w:r>
    </w:p>
    <w:p>
      <w:pPr>
        <w:pStyle w:val="ListBullet"/>
        <w:ind w:left="720"/>
      </w:pPr>
      <w:r>
        <w:t>User-generated content (UGC) curation and reposting workflow</w:t>
      </w:r>
    </w:p>
    <w:p>
      <w:pPr>
        <w:pStyle w:val="ListBullet"/>
        <w:ind w:left="720"/>
      </w:pPr>
      <w:r>
        <w:t>Compliance review checklist (medical claims, before/after guidelines, testimonial disclosure)</w:t>
      </w:r>
    </w:p>
    <w:p>
      <w:pPr>
        <w:pStyle w:val="Heading2"/>
      </w:pPr>
      <w:r>
        <w:rPr>
          <w:rFonts w:ascii="Calibri" w:hAnsi="Calibri"/>
          <w:color w:val="1F4E79"/>
        </w:rPr>
        <w:t>Tab 6: Patient App (7-Page Light-Theme Public Portal)</w:t>
      </w:r>
    </w:p>
    <w:p>
      <w:r>
        <w:t>A consumer-facing mobile-first web application with a clean light theme. Seven pages deliver the complete patient experience outside the clinical visit.</w:t>
      </w:r>
    </w:p>
    <w:p>
      <w:pPr>
        <w:pStyle w:val="Heading3"/>
      </w:pPr>
      <w:r>
        <w:rPr>
          <w:rFonts w:ascii="Calibri" w:hAnsi="Calibri"/>
          <w:color w:val="1F4E79"/>
        </w:rPr>
        <w:t>Page 1: Home / Dashboard</w:t>
      </w:r>
    </w:p>
    <w:p>
      <w:pPr>
        <w:pStyle w:val="ListBullet"/>
        <w:ind w:left="720"/>
      </w:pPr>
      <w:r>
        <w:t>Personalized greeting with REEL™ phase indicator</w:t>
      </w:r>
    </w:p>
    <w:p>
      <w:pPr>
        <w:pStyle w:val="ListBullet"/>
        <w:ind w:left="720"/>
      </w:pPr>
      <w:r>
        <w:t>Today’s action items (upcoming appointment, supplement reminder, coaching prompt)</w:t>
      </w:r>
    </w:p>
    <w:p>
      <w:pPr>
        <w:pStyle w:val="ListBullet"/>
        <w:ind w:left="720"/>
      </w:pPr>
      <w:r>
        <w:t>Health score trend (composite score from labs, wearable data, self-reports)</w:t>
      </w:r>
    </w:p>
    <w:p>
      <w:pPr>
        <w:pStyle w:val="ListBullet"/>
        <w:ind w:left="720"/>
      </w:pPr>
      <w:r>
        <w:t>Quick-action buttons: Book Appointment, Message Provider, View Labs, Refer a Friend</w:t>
      </w:r>
    </w:p>
    <w:p>
      <w:pPr>
        <w:pStyle w:val="ListBullet"/>
        <w:ind w:left="720"/>
      </w:pPr>
      <w:r>
        <w:t>Active membership tier badge and credit balance</w:t>
      </w:r>
    </w:p>
    <w:p>
      <w:pPr>
        <w:pStyle w:val="Heading3"/>
      </w:pPr>
      <w:r>
        <w:rPr>
          <w:rFonts w:ascii="Calibri" w:hAnsi="Calibri"/>
          <w:color w:val="1F4E79"/>
        </w:rPr>
        <w:t>Page 2: My Health</w:t>
      </w:r>
    </w:p>
    <w:p>
      <w:pPr>
        <w:pStyle w:val="ListBullet"/>
        <w:ind w:left="720"/>
      </w:pPr>
      <w:r>
        <w:t>Lab results timeline with reference ranges, provider annotations, and trend arrows</w:t>
      </w:r>
    </w:p>
    <w:p>
      <w:pPr>
        <w:pStyle w:val="ListBullet"/>
        <w:ind w:left="720"/>
      </w:pPr>
      <w:r>
        <w:t>Biomarker deep-dive cards (tap to expand each marker’s history and education content)</w:t>
      </w:r>
    </w:p>
    <w:p>
      <w:pPr>
        <w:pStyle w:val="ListBullet"/>
        <w:ind w:left="720"/>
      </w:pPr>
      <w:r>
        <w:t>Wearable data sync (sleep, HRV, steps, active calories, resting heart rate)</w:t>
      </w:r>
    </w:p>
    <w:p>
      <w:pPr>
        <w:pStyle w:val="ListBullet"/>
        <w:ind w:left="720"/>
      </w:pPr>
      <w:r>
        <w:t>Body composition history chart (weight, body fat %, muscle mass)</w:t>
      </w:r>
    </w:p>
    <w:p>
      <w:pPr>
        <w:pStyle w:val="ListBullet"/>
        <w:ind w:left="720"/>
      </w:pPr>
      <w:r>
        <w:t>Goal tracker with progress rings</w:t>
      </w:r>
    </w:p>
    <w:p>
      <w:pPr>
        <w:pStyle w:val="Heading3"/>
      </w:pPr>
      <w:r>
        <w:rPr>
          <w:rFonts w:ascii="Calibri" w:hAnsi="Calibri"/>
          <w:color w:val="1F4E79"/>
        </w:rPr>
        <w:t>Page 3: Appointments</w:t>
      </w:r>
    </w:p>
    <w:p>
      <w:pPr>
        <w:pStyle w:val="ListBullet"/>
        <w:ind w:left="720"/>
      </w:pPr>
      <w:r>
        <w:t>Calendar view with upcoming and past appointments</w:t>
      </w:r>
    </w:p>
    <w:p>
      <w:pPr>
        <w:pStyle w:val="ListBullet"/>
        <w:ind w:left="720"/>
      </w:pPr>
      <w:r>
        <w:t>One-tap booking with service-type filter and provider selection</w:t>
      </w:r>
    </w:p>
    <w:p>
      <w:pPr>
        <w:pStyle w:val="ListBullet"/>
        <w:ind w:left="720"/>
      </w:pPr>
      <w:r>
        <w:t>Pre-visit intake form completion prompt</w:t>
      </w:r>
    </w:p>
    <w:p>
      <w:pPr>
        <w:pStyle w:val="ListBullet"/>
        <w:ind w:left="720"/>
      </w:pPr>
      <w:r>
        <w:t>Post-visit summary and follow-up task list</w:t>
      </w:r>
    </w:p>
    <w:p>
      <w:pPr>
        <w:pStyle w:val="ListBullet"/>
        <w:ind w:left="720"/>
      </w:pPr>
      <w:r>
        <w:t>Cancellation/rescheduling with automated credit adjustments</w:t>
      </w:r>
    </w:p>
    <w:p>
      <w:pPr>
        <w:pStyle w:val="Heading3"/>
      </w:pPr>
      <w:r>
        <w:rPr>
          <w:rFonts w:ascii="Calibri" w:hAnsi="Calibri"/>
          <w:color w:val="1F4E79"/>
        </w:rPr>
        <w:t>Page 4: Programs &amp; Packages</w:t>
      </w:r>
    </w:p>
    <w:p>
      <w:pPr>
        <w:pStyle w:val="ListBullet"/>
        <w:ind w:left="720"/>
      </w:pPr>
      <w:r>
        <w:t>Active package progress tracker (sessions completed, remaining, next scheduled)</w:t>
      </w:r>
    </w:p>
    <w:p>
      <w:pPr>
        <w:pStyle w:val="ListBullet"/>
        <w:ind w:left="720"/>
      </w:pPr>
      <w:r>
        <w:t>Available packages and bundles tailored to membership tier</w:t>
      </w:r>
    </w:p>
    <w:p>
      <w:pPr>
        <w:pStyle w:val="ListBullet"/>
        <w:ind w:left="720"/>
      </w:pPr>
      <w:r>
        <w:t>Before/after comparison tool (photo upload with side-by-side viewer)</w:t>
      </w:r>
    </w:p>
    <w:p>
      <w:pPr>
        <w:pStyle w:val="ListBullet"/>
        <w:ind w:left="720"/>
      </w:pPr>
      <w:r>
        <w:t>Program milestone celebrations and badge awards</w:t>
      </w:r>
    </w:p>
    <w:p>
      <w:pPr>
        <w:pStyle w:val="Heading3"/>
      </w:pPr>
      <w:r>
        <w:rPr>
          <w:rFonts w:ascii="Calibri" w:hAnsi="Calibri"/>
          <w:color w:val="1F4E79"/>
        </w:rPr>
        <w:t>Page 5: Shop</w:t>
      </w:r>
    </w:p>
    <w:p>
      <w:pPr>
        <w:pStyle w:val="ListBullet"/>
        <w:ind w:left="720"/>
      </w:pPr>
      <w:r>
        <w:t>Browse all 22 bundles and individual supplements</w:t>
      </w:r>
    </w:p>
    <w:p>
      <w:pPr>
        <w:pStyle w:val="ListBullet"/>
        <w:ind w:left="720"/>
      </w:pPr>
      <w:r>
        <w:t>Membership discount auto-applied at checkout</w:t>
      </w:r>
    </w:p>
    <w:p>
      <w:pPr>
        <w:pStyle w:val="ListBullet"/>
        <w:ind w:left="720"/>
      </w:pPr>
      <w:r>
        <w:t>Subscription options (auto-ship supplements monthly/quarterly)</w:t>
      </w:r>
    </w:p>
    <w:p>
      <w:pPr>
        <w:pStyle w:val="ListBullet"/>
        <w:ind w:left="720"/>
      </w:pPr>
      <w:r>
        <w:t>Order history and reorder button</w:t>
      </w:r>
    </w:p>
    <w:p>
      <w:pPr>
        <w:pStyle w:val="ListBullet"/>
        <w:ind w:left="720"/>
      </w:pPr>
      <w:r>
        <w:t>Product reviews and ratings</w:t>
      </w:r>
    </w:p>
    <w:p>
      <w:pPr>
        <w:pStyle w:val="Heading3"/>
      </w:pPr>
      <w:r>
        <w:rPr>
          <w:rFonts w:ascii="Calibri" w:hAnsi="Calibri"/>
          <w:color w:val="1F4E79"/>
        </w:rPr>
        <w:t>Page 6: Messages</w:t>
      </w:r>
    </w:p>
    <w:p>
      <w:pPr>
        <w:pStyle w:val="ListBullet"/>
        <w:ind w:left="720"/>
      </w:pPr>
      <w:r>
        <w:t>HIPAA-compliant secure messaging with care team</w:t>
      </w:r>
    </w:p>
    <w:p>
      <w:pPr>
        <w:pStyle w:val="ListBullet"/>
        <w:ind w:left="720"/>
      </w:pPr>
      <w:r>
        <w:t>Photo/document attachment capability</w:t>
      </w:r>
    </w:p>
    <w:p>
      <w:pPr>
        <w:pStyle w:val="ListBullet"/>
        <w:ind w:left="720"/>
      </w:pPr>
      <w:r>
        <w:t>Message categories: Clinical, Billing, Scheduling, General</w:t>
      </w:r>
    </w:p>
    <w:p>
      <w:pPr>
        <w:pStyle w:val="ListBullet"/>
        <w:ind w:left="720"/>
      </w:pPr>
      <w:r>
        <w:t>Response-time SLA indicator by membership tier</w:t>
      </w:r>
    </w:p>
    <w:p>
      <w:pPr>
        <w:pStyle w:val="Heading3"/>
      </w:pPr>
      <w:r>
        <w:rPr>
          <w:rFonts w:ascii="Calibri" w:hAnsi="Calibri"/>
          <w:color w:val="1F4E79"/>
        </w:rPr>
        <w:t>Page 7: Profile &amp; Settings</w:t>
      </w:r>
    </w:p>
    <w:p>
      <w:pPr>
        <w:pStyle w:val="ListBullet"/>
        <w:ind w:left="720"/>
      </w:pPr>
      <w:r>
        <w:t>Personal information editor (demographics, emergency contact, insurance)</w:t>
      </w:r>
    </w:p>
    <w:p>
      <w:pPr>
        <w:pStyle w:val="ListBullet"/>
        <w:ind w:left="720"/>
      </w:pPr>
      <w:r>
        <w:t>Membership management (upgrade, downgrade, cancel, billing history)</w:t>
      </w:r>
    </w:p>
    <w:p>
      <w:pPr>
        <w:pStyle w:val="ListBullet"/>
        <w:ind w:left="720"/>
      </w:pPr>
      <w:r>
        <w:t>Notification preferences (email, SMS, push — by category)</w:t>
      </w:r>
    </w:p>
    <w:p>
      <w:pPr>
        <w:pStyle w:val="ListBullet"/>
        <w:ind w:left="720"/>
      </w:pPr>
      <w:r>
        <w:t>Referral dashboard (link, invites sent, conversions, bonuses earned)</w:t>
      </w:r>
    </w:p>
    <w:p>
      <w:pPr>
        <w:pStyle w:val="ListBullet"/>
        <w:ind w:left="720"/>
      </w:pPr>
      <w:r>
        <w:t>Connected wearables and data-sharing permissions</w:t>
      </w:r>
    </w:p>
    <w:p>
      <w:pPr>
        <w:pStyle w:val="Heading2"/>
      </w:pPr>
      <w:r>
        <w:rPr>
          <w:rFonts w:ascii="Calibri" w:hAnsi="Calibri"/>
          <w:color w:val="1F4E79"/>
        </w:rPr>
        <w:t>Tab 7: ReelVerse (AI-Powered Wellness Engine)</w:t>
      </w:r>
    </w:p>
    <w:p>
      <w:r>
        <w:t>The ReelVerse AI™ tab delivers personalized, adaptive wellness programming powered by machine learning and the REEL™ Align Method™ framework.</w:t>
      </w:r>
    </w:p>
    <w:p>
      <w:pPr>
        <w:pStyle w:val="Heading3"/>
      </w:pPr>
      <w:r>
        <w:rPr>
          <w:rFonts w:ascii="Calibri" w:hAnsi="Calibri"/>
          <w:color w:val="1F4E79"/>
        </w:rPr>
        <w:t>REEL Assessment</w:t>
      </w:r>
    </w:p>
    <w:p>
      <w:pPr>
        <w:pStyle w:val="ListBullet"/>
        <w:ind w:left="720"/>
      </w:pPr>
      <w:r>
        <w:t>Initial 45-question assessment covering physical, metabolic, hormonal, and psychological domains</w:t>
      </w:r>
    </w:p>
    <w:p>
      <w:pPr>
        <w:pStyle w:val="ListBullet"/>
        <w:ind w:left="720"/>
      </w:pPr>
      <w:r>
        <w:t>Algorithmic placement into REEL™ phase (Restore, Energize, Elevate, or Liberate)</w:t>
      </w:r>
    </w:p>
    <w:p>
      <w:pPr>
        <w:pStyle w:val="ListBullet"/>
        <w:ind w:left="720"/>
      </w:pPr>
      <w:r>
        <w:t>Reassessment every 90 days with phase-transition recommendations</w:t>
      </w:r>
    </w:p>
    <w:p>
      <w:pPr>
        <w:pStyle w:val="ListBullet"/>
        <w:ind w:left="720"/>
      </w:pPr>
      <w:r>
        <w:t>Provider override capability for clinical edge cases</w:t>
      </w:r>
    </w:p>
    <w:p>
      <w:pPr>
        <w:pStyle w:val="ListBullet"/>
        <w:ind w:left="720"/>
      </w:pPr>
      <w:r>
        <w:t>Integration with lab results and wearable data for objective scoring</w:t>
      </w:r>
    </w:p>
    <w:p>
      <w:pPr>
        <w:pStyle w:val="Heading3"/>
      </w:pPr>
      <w:r>
        <w:rPr>
          <w:rFonts w:ascii="Calibri" w:hAnsi="Calibri"/>
          <w:color w:val="1F4E79"/>
        </w:rPr>
        <w:t>Habit Tracker</w:t>
      </w:r>
    </w:p>
    <w:p>
      <w:pPr>
        <w:pStyle w:val="ListBullet"/>
        <w:ind w:left="720"/>
      </w:pPr>
      <w:r>
        <w:t>Daily habit check-in (hydration, sleep, movement, nutrition, supplements, mindfulness)</w:t>
      </w:r>
    </w:p>
    <w:p>
      <w:pPr>
        <w:pStyle w:val="ListBullet"/>
        <w:ind w:left="720"/>
      </w:pPr>
      <w:r>
        <w:t>Streak tracking with gamified milestones (7-day, 30-day, 90-day badges)</w:t>
      </w:r>
    </w:p>
    <w:p>
      <w:pPr>
        <w:pStyle w:val="ListBullet"/>
        <w:ind w:left="720"/>
      </w:pPr>
      <w:r>
        <w:t>Habit correlation engine — AI identifies which habits most impact patient’s biomarkers</w:t>
      </w:r>
    </w:p>
    <w:p>
      <w:pPr>
        <w:pStyle w:val="ListBullet"/>
        <w:ind w:left="720"/>
      </w:pPr>
      <w:r>
        <w:t>Customizable habit lists by REEL™ phase</w:t>
      </w:r>
    </w:p>
    <w:p>
      <w:pPr>
        <w:pStyle w:val="ListBullet"/>
        <w:ind w:left="720"/>
      </w:pPr>
      <w:r>
        <w:t>Weekly habit adherence report shared with coach</w:t>
      </w:r>
    </w:p>
    <w:p>
      <w:pPr>
        <w:pStyle w:val="Heading3"/>
      </w:pPr>
      <w:r>
        <w:rPr>
          <w:rFonts w:ascii="Calibri" w:hAnsi="Calibri"/>
          <w:color w:val="1F4E79"/>
        </w:rPr>
        <w:t>Journal</w:t>
      </w:r>
    </w:p>
    <w:p>
      <w:pPr>
        <w:pStyle w:val="ListBullet"/>
        <w:ind w:left="720"/>
      </w:pPr>
      <w:r>
        <w:t>Free-form daily journal with mood/energy/pain tags</w:t>
      </w:r>
    </w:p>
    <w:p>
      <w:pPr>
        <w:pStyle w:val="ListBullet"/>
        <w:ind w:left="720"/>
      </w:pPr>
      <w:r>
        <w:t>AI-generated reflection prompts based on REEL™ phase and recent data</w:t>
      </w:r>
    </w:p>
    <w:p>
      <w:pPr>
        <w:pStyle w:val="ListBullet"/>
        <w:ind w:left="720"/>
      </w:pPr>
      <w:r>
        <w:t>Symptom logging with severity scale and body-map selector</w:t>
      </w:r>
    </w:p>
    <w:p>
      <w:pPr>
        <w:pStyle w:val="ListBullet"/>
        <w:ind w:left="720"/>
      </w:pPr>
      <w:r>
        <w:t>Provider-visible journal entries (patient controls sharing permissions)</w:t>
      </w:r>
    </w:p>
    <w:p>
      <w:pPr>
        <w:pStyle w:val="ListBullet"/>
        <w:ind w:left="720"/>
      </w:pPr>
      <w:r>
        <w:t>Natural language processing for sentiment trends and clinical alerts</w:t>
      </w:r>
    </w:p>
    <w:p>
      <w:pPr>
        <w:pStyle w:val="Heading3"/>
      </w:pPr>
      <w:r>
        <w:rPr>
          <w:rFonts w:ascii="Calibri" w:hAnsi="Calibri"/>
          <w:color w:val="1F4E79"/>
        </w:rPr>
        <w:t>AI Coaching</w:t>
      </w:r>
    </w:p>
    <w:p>
      <w:pPr>
        <w:pStyle w:val="ListBullet"/>
        <w:ind w:left="720"/>
      </w:pPr>
      <w:r>
        <w:t>24/7 AI chat coach for supplement timing, meal suggestions, workout modifications</w:t>
      </w:r>
    </w:p>
    <w:p>
      <w:pPr>
        <w:pStyle w:val="ListBullet"/>
        <w:ind w:left="720"/>
      </w:pPr>
      <w:r>
        <w:t>Escalation to human coach when AI confidence drops below threshold</w:t>
      </w:r>
    </w:p>
    <w:p>
      <w:pPr>
        <w:pStyle w:val="ListBullet"/>
        <w:ind w:left="720"/>
      </w:pPr>
      <w:r>
        <w:t>Personalized daily action plan generated from REEL™ phase, labs, and habits</w:t>
      </w:r>
    </w:p>
    <w:p>
      <w:pPr>
        <w:pStyle w:val="ListBullet"/>
        <w:ind w:left="720"/>
      </w:pPr>
      <w:r>
        <w:t>Educational micro-lessons delivered contextually (e.g., after logging a poor sleep night)</w:t>
      </w:r>
    </w:p>
    <w:p>
      <w:pPr>
        <w:pStyle w:val="ListBullet"/>
        <w:ind w:left="720"/>
      </w:pPr>
      <w:r>
        <w:t>Protocol adjustment recommendations flagged for provider review</w:t>
      </w:r>
    </w:p>
    <w:p>
      <w:pPr>
        <w:pStyle w:val="Heading3"/>
      </w:pPr>
      <w:r>
        <w:rPr>
          <w:rFonts w:ascii="Calibri" w:hAnsi="Calibri"/>
          <w:color w:val="1F4E79"/>
        </w:rPr>
        <w:t>Progress Dashboard</w:t>
      </w:r>
    </w:p>
    <w:p>
      <w:pPr>
        <w:pStyle w:val="ListBullet"/>
        <w:ind w:left="720"/>
      </w:pPr>
      <w:r>
        <w:t>Composite wellness score with trend visualization (30/60/90/180-day views)</w:t>
      </w:r>
    </w:p>
    <w:p>
      <w:pPr>
        <w:pStyle w:val="ListBullet"/>
        <w:ind w:left="720"/>
      </w:pPr>
      <w:r>
        <w:t>REEL™ phase progression timeline with milestone markers</w:t>
      </w:r>
    </w:p>
    <w:p>
      <w:pPr>
        <w:pStyle w:val="ListBullet"/>
        <w:ind w:left="720"/>
      </w:pPr>
      <w:r>
        <w:t>Before/after photo comparison tool with measurement overlays</w:t>
      </w:r>
    </w:p>
    <w:p>
      <w:pPr>
        <w:pStyle w:val="ListBullet"/>
        <w:ind w:left="720"/>
      </w:pPr>
      <w:r>
        <w:t>Goal achievement tracking with projected completion dates</w:t>
      </w:r>
    </w:p>
    <w:p>
      <w:pPr>
        <w:pStyle w:val="ListBullet"/>
        <w:ind w:left="720"/>
      </w:pPr>
      <w:r>
        <w:t>Exportable progress report for provider consultations</w:t>
      </w:r>
    </w:p>
    <w:p>
      <w:pPr>
        <w:pStyle w:val="Heading2"/>
      </w:pPr>
      <w:r>
        <w:rPr>
          <w:rFonts w:ascii="Calibri" w:hAnsi="Calibri"/>
          <w:color w:val="1F4E79"/>
        </w:rPr>
        <w:t>Tab 8: Integrations</w:t>
      </w:r>
    </w:p>
    <w:p>
      <w:r>
        <w:t>Third-party system connections that power the platform’s operational backbone.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Integration</w:t>
            </w:r>
          </w:p>
        </w:tc>
        <w:tc>
          <w:tcPr>
            <w:tcW w:type="dxa" w:w="360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888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Data Flow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Zenoti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Spa/clinic management — scheduling, POS, membership billing, gift cards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Bi-directional: appointments, payments, membership status, inventory</w:t>
            </w:r>
          </w:p>
        </w:tc>
      </w:tr>
      <w:tr>
        <w:tc>
          <w:tcPr>
            <w:tcW w:type="dxa" w:w="187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Athena Health</w:t>
            </w:r>
          </w:p>
        </w:tc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EHR/Practice management — clinical notes, prescriptions, lab orders, claims</w:t>
            </w:r>
          </w:p>
        </w:tc>
        <w:tc>
          <w:tcPr>
            <w:tcW w:type="dxa" w:w="388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Bi-directional: patient records, encounter data, billing, lab results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Stripe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Payment processing — membership recurring billing, one-time purchases, refunds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Inbound: payment confirmations, subscription events, dispute alerts</w:t>
            </w:r>
          </w:p>
        </w:tc>
      </w:tr>
      <w:tr>
        <w:tc>
          <w:tcPr>
            <w:tcW w:type="dxa" w:w="187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Twilio</w:t>
            </w:r>
          </w:p>
        </w:tc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Communication — SMS appointment reminders, 2FA, marketing texts, voice calls</w:t>
            </w:r>
          </w:p>
        </w:tc>
        <w:tc>
          <w:tcPr>
            <w:tcW w:type="dxa" w:w="388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Outbound: appointment reminders, credit notifications, campaign SMS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SendGrid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Email delivery — transactional emails, marketing campaigns, drip sequences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Outbound: welcome series, newsletters, lab alerts, renewal reminders</w:t>
            </w:r>
          </w:p>
        </w:tc>
      </w:tr>
      <w:tr>
        <w:tc>
          <w:tcPr>
            <w:tcW w:type="dxa" w:w="187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Google Analytics 4</w:t>
            </w:r>
          </w:p>
        </w:tc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Web/app analytics — traffic, conversion tracking, user behavior, attribution</w:t>
            </w:r>
          </w:p>
        </w:tc>
        <w:tc>
          <w:tcPr>
            <w:tcW w:type="dxa" w:w="3888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Inbound: pageviews, events, goal completions, UTM attribution data</w:t>
            </w:r>
          </w:p>
        </w:tc>
      </w:tr>
    </w:tbl>
    <w:p>
      <w:pPr>
        <w:pStyle w:val="Heading2"/>
      </w:pPr>
      <w:r>
        <w:rPr>
          <w:rFonts w:ascii="Calibri" w:hAnsi="Calibri"/>
          <w:color w:val="1F4E79"/>
        </w:rPr>
        <w:t>Tab 9: Compliance</w:t>
      </w:r>
    </w:p>
    <w:p>
      <w:r>
        <w:t>Comprehensive regulatory compliance management covering HIPAA, consent, business associate agreements, audit controls, and OSHA safety.</w:t>
      </w:r>
    </w:p>
    <w:p>
      <w:pPr>
        <w:pStyle w:val="Heading3"/>
      </w:pPr>
      <w:r>
        <w:rPr>
          <w:rFonts w:ascii="Calibri" w:hAnsi="Calibri"/>
          <w:color w:val="1F4E79"/>
        </w:rPr>
        <w:t>HIPAA Compliance (15 Items)</w:t>
      </w:r>
    </w:p>
    <w:p>
      <w:pPr>
        <w:pStyle w:val="ListBullet"/>
        <w:ind w:left="720"/>
      </w:pPr>
      <w:r>
        <w:t>Privacy Officer designation and contact information</w:t>
      </w:r>
    </w:p>
    <w:p>
      <w:pPr>
        <w:pStyle w:val="ListBullet"/>
        <w:ind w:left="720"/>
      </w:pPr>
      <w:r>
        <w:t>Notice of Privacy Practices (NPP) — posted in-clinic and on website</w:t>
      </w:r>
    </w:p>
    <w:p>
      <w:pPr>
        <w:pStyle w:val="ListBullet"/>
        <w:ind w:left="720"/>
      </w:pPr>
      <w:r>
        <w:t>Patient rights documentation (access, amendment, restriction, accounting of disclosures)</w:t>
      </w:r>
    </w:p>
    <w:p>
      <w:pPr>
        <w:pStyle w:val="ListBullet"/>
        <w:ind w:left="720"/>
      </w:pPr>
      <w:r>
        <w:t>Minimum Necessary Standard policy for PHI access</w:t>
      </w:r>
    </w:p>
    <w:p>
      <w:pPr>
        <w:pStyle w:val="ListBullet"/>
        <w:ind w:left="720"/>
      </w:pPr>
      <w:r>
        <w:t>Encryption at rest (AES-256) and in transit (TLS 1.3) for all PHI</w:t>
      </w:r>
    </w:p>
    <w:p>
      <w:pPr>
        <w:pStyle w:val="ListBullet"/>
        <w:ind w:left="720"/>
      </w:pPr>
      <w:r>
        <w:t>Access control matrix — role-based permissions for every system user</w:t>
      </w:r>
    </w:p>
    <w:p>
      <w:pPr>
        <w:pStyle w:val="ListBullet"/>
        <w:ind w:left="720"/>
      </w:pPr>
      <w:r>
        <w:t>Workforce training completion tracking (annual HIPAA training requirement)</w:t>
      </w:r>
    </w:p>
    <w:p>
      <w:pPr>
        <w:pStyle w:val="ListBullet"/>
        <w:ind w:left="720"/>
      </w:pPr>
      <w:r>
        <w:t>Incident response plan with 60-day breach notification timeline</w:t>
      </w:r>
    </w:p>
    <w:p>
      <w:pPr>
        <w:pStyle w:val="ListBullet"/>
        <w:ind w:left="720"/>
      </w:pPr>
      <w:r>
        <w:t>Risk assessment schedule (annual) with documented remediation plans</w:t>
      </w:r>
    </w:p>
    <w:p>
      <w:pPr>
        <w:pStyle w:val="ListBullet"/>
        <w:ind w:left="720"/>
      </w:pPr>
      <w:r>
        <w:t>Physical safeguard policies (workstation use, facility access, device disposal)</w:t>
      </w:r>
    </w:p>
    <w:p>
      <w:pPr>
        <w:pStyle w:val="ListBullet"/>
        <w:ind w:left="720"/>
      </w:pPr>
      <w:r>
        <w:t>Business Associate Agreement (BAA) registry with expiration tracking</w:t>
      </w:r>
    </w:p>
    <w:p>
      <w:pPr>
        <w:pStyle w:val="ListBullet"/>
        <w:ind w:left="720"/>
      </w:pPr>
      <w:r>
        <w:t>De-identification procedures for research and analytics data</w:t>
      </w:r>
    </w:p>
    <w:p>
      <w:pPr>
        <w:pStyle w:val="ListBullet"/>
        <w:ind w:left="720"/>
      </w:pPr>
      <w:r>
        <w:t>Patient authorization forms for uses beyond TPO (treatment, payment, operations)</w:t>
      </w:r>
    </w:p>
    <w:p>
      <w:pPr>
        <w:pStyle w:val="ListBullet"/>
        <w:ind w:left="720"/>
      </w:pPr>
      <w:r>
        <w:t>Sanctions policy for workforce HIPAA violations</w:t>
      </w:r>
    </w:p>
    <w:p>
      <w:pPr>
        <w:pStyle w:val="ListBullet"/>
        <w:ind w:left="720"/>
      </w:pPr>
      <w:r>
        <w:t>Documentation retention policy (6 years minimum per federal requirement)</w:t>
      </w:r>
    </w:p>
    <w:p>
      <w:pPr>
        <w:pStyle w:val="Heading3"/>
      </w:pPr>
      <w:r>
        <w:rPr>
          <w:rFonts w:ascii="Calibri" w:hAnsi="Calibri"/>
          <w:color w:val="1F4E79"/>
        </w:rPr>
        <w:t>Consent Forms (6)</w:t>
      </w:r>
    </w:p>
    <w:p>
      <w:pPr>
        <w:pStyle w:val="ListBullet"/>
        <w:ind w:left="720"/>
      </w:pPr>
      <w:r>
        <w:t>General Treatment Consent — standard informed consent for all clinical services</w:t>
      </w:r>
    </w:p>
    <w:p>
      <w:pPr>
        <w:pStyle w:val="ListBullet"/>
        <w:ind w:left="720"/>
      </w:pPr>
      <w:r>
        <w:t>Telehealth Consent — risks, limitations, technology requirements, recording policy</w:t>
      </w:r>
    </w:p>
    <w:p>
      <w:pPr>
        <w:pStyle w:val="ListBullet"/>
        <w:ind w:left="720"/>
      </w:pPr>
      <w:r>
        <w:t>IV Therapy &amp; Injection Consent — procedure-specific risks, contraindications, aftercare</w:t>
      </w:r>
    </w:p>
    <w:p>
      <w:pPr>
        <w:pStyle w:val="ListBullet"/>
        <w:ind w:left="720"/>
      </w:pPr>
      <w:r>
        <w:t>Hormone Replacement Therapy Consent — TRT/BHRT risks, monitoring requirements, lab schedules</w:t>
      </w:r>
    </w:p>
    <w:p>
      <w:pPr>
        <w:pStyle w:val="ListBullet"/>
        <w:ind w:left="720"/>
      </w:pPr>
      <w:r>
        <w:t>Genetic Testing Consent — scope of testing, data storage, result implications, counseling availability</w:t>
      </w:r>
    </w:p>
    <w:p>
      <w:pPr>
        <w:pStyle w:val="ListBullet"/>
        <w:ind w:left="720"/>
      </w:pPr>
      <w:r>
        <w:t>Photography/Marketing Consent — before/after photo use, testimonial permissions, revocation process</w:t>
      </w:r>
    </w:p>
    <w:p>
      <w:pPr>
        <w:pStyle w:val="Heading3"/>
      </w:pPr>
      <w:r>
        <w:rPr>
          <w:rFonts w:ascii="Calibri" w:hAnsi="Calibri"/>
          <w:color w:val="1F4E79"/>
        </w:rPr>
        <w:t>Business Associate Agreements (5 BAAs)</w:t>
      </w:r>
    </w:p>
    <w:p>
      <w:pPr>
        <w:pStyle w:val="ListBullet"/>
        <w:ind w:left="720"/>
      </w:pPr>
      <w:r>
        <w:t>Athena Health — EHR/Practice Management (PHI storage, claims processing)</w:t>
      </w:r>
    </w:p>
    <w:p>
      <w:pPr>
        <w:pStyle w:val="ListBullet"/>
        <w:ind w:left="720"/>
      </w:pPr>
      <w:r>
        <w:t>Zenoti — Clinic Management (appointment data, membership/payment records)</w:t>
      </w:r>
    </w:p>
    <w:p>
      <w:pPr>
        <w:pStyle w:val="ListBullet"/>
        <w:ind w:left="720"/>
      </w:pPr>
      <w:r>
        <w:t>Stripe — Payment Processing (payment card data, membership billing records)</w:t>
      </w:r>
    </w:p>
    <w:p>
      <w:pPr>
        <w:pStyle w:val="ListBullet"/>
        <w:ind w:left="720"/>
      </w:pPr>
      <w:r>
        <w:t>Twilio — Communication Platform (patient phone numbers, appointment details in SMS)</w:t>
      </w:r>
    </w:p>
    <w:p>
      <w:pPr>
        <w:pStyle w:val="ListBullet"/>
        <w:ind w:left="720"/>
      </w:pPr>
      <w:r>
        <w:t>SendGrid — Email Delivery (patient email addresses, health-related email content)</w:t>
      </w:r>
    </w:p>
    <w:p>
      <w:pPr>
        <w:pStyle w:val="Heading3"/>
      </w:pPr>
      <w:r>
        <w:rPr>
          <w:rFonts w:ascii="Calibri" w:hAnsi="Calibri"/>
          <w:color w:val="1F4E79"/>
        </w:rPr>
        <w:t>Audit Trail</w:t>
      </w:r>
    </w:p>
    <w:p>
      <w:pPr>
        <w:pStyle w:val="ListBullet"/>
        <w:ind w:left="720"/>
      </w:pPr>
      <w:r>
        <w:t>Immutable log of all PHI access events (who, what, when, why)</w:t>
      </w:r>
    </w:p>
    <w:p>
      <w:pPr>
        <w:pStyle w:val="ListBullet"/>
        <w:ind w:left="720"/>
      </w:pPr>
      <w:r>
        <w:t>Login/logout tracking with IP address and device fingerprint</w:t>
      </w:r>
    </w:p>
    <w:p>
      <w:pPr>
        <w:pStyle w:val="ListBullet"/>
        <w:ind w:left="720"/>
      </w:pPr>
      <w:r>
        <w:t>Record modification history with before/after snapshots</w:t>
      </w:r>
    </w:p>
    <w:p>
      <w:pPr>
        <w:pStyle w:val="ListBullet"/>
        <w:ind w:left="720"/>
      </w:pPr>
      <w:r>
        <w:t>Failed access attempt alerts and automatic lockout after 5 failures</w:t>
      </w:r>
    </w:p>
    <w:p>
      <w:pPr>
        <w:pStyle w:val="ListBullet"/>
        <w:ind w:left="720"/>
      </w:pPr>
      <w:r>
        <w:t>Quarterly audit review schedule with compliance officer sign-off</w:t>
      </w:r>
    </w:p>
    <w:p>
      <w:pPr>
        <w:pStyle w:val="ListBullet"/>
        <w:ind w:left="720"/>
      </w:pPr>
      <w:r>
        <w:t>Data export and deletion request tracking (patient right to access/erasure)</w:t>
      </w:r>
    </w:p>
    <w:p>
      <w:pPr>
        <w:pStyle w:val="Heading3"/>
      </w:pPr>
      <w:r>
        <w:rPr>
          <w:rFonts w:ascii="Calibri" w:hAnsi="Calibri"/>
          <w:color w:val="1F4E79"/>
        </w:rPr>
        <w:t>OSHA Compliance</w:t>
      </w:r>
    </w:p>
    <w:p>
      <w:pPr>
        <w:pStyle w:val="ListBullet"/>
        <w:ind w:left="720"/>
      </w:pPr>
      <w:r>
        <w:t>Bloodborne Pathogen Exposure Control Plan</w:t>
      </w:r>
    </w:p>
    <w:p>
      <w:pPr>
        <w:pStyle w:val="ListBullet"/>
        <w:ind w:left="720"/>
      </w:pPr>
      <w:r>
        <w:t>Sharps injury log and needlestick prevention protocol</w:t>
      </w:r>
    </w:p>
    <w:p>
      <w:pPr>
        <w:pStyle w:val="ListBullet"/>
        <w:ind w:left="720"/>
      </w:pPr>
      <w:r>
        <w:t>Hazard Communication Standard (SDS sheets for all chemicals)</w:t>
      </w:r>
    </w:p>
    <w:p>
      <w:pPr>
        <w:pStyle w:val="ListBullet"/>
        <w:ind w:left="720"/>
      </w:pPr>
      <w:r>
        <w:t>Personal Protective Equipment (PPE) inventory and training documentation</w:t>
      </w:r>
    </w:p>
    <w:p>
      <w:pPr>
        <w:pStyle w:val="ListBullet"/>
        <w:ind w:left="720"/>
      </w:pPr>
      <w:r>
        <w:t>Emergency action plan (fire, severe weather, active threat, medical emergency)</w:t>
      </w:r>
    </w:p>
    <w:p>
      <w:pPr>
        <w:pStyle w:val="ListBullet"/>
        <w:ind w:left="720"/>
      </w:pPr>
      <w:r>
        <w:t>Annual workplace hazard assessment with documented corrective actions</w:t>
      </w:r>
    </w:p>
    <w:p>
      <w:pPr>
        <w:pStyle w:val="Heading2"/>
      </w:pPr>
      <w:r>
        <w:rPr>
          <w:rFonts w:ascii="Calibri" w:hAnsi="Calibri"/>
          <w:color w:val="1F4E79"/>
        </w:rPr>
        <w:t>Tab 10: Training</w:t>
      </w:r>
    </w:p>
    <w:p>
      <w:r>
        <w:t>Centralized onboarding, standard operating procedures, training modules, and competency tracking for all staff.</w:t>
      </w:r>
    </w:p>
    <w:p>
      <w:pPr>
        <w:pStyle w:val="Heading3"/>
      </w:pPr>
      <w:r>
        <w:rPr>
          <w:rFonts w:ascii="Calibri" w:hAnsi="Calibri"/>
          <w:color w:val="1F4E79"/>
        </w:rPr>
        <w:t>Onboarding Program</w:t>
      </w:r>
    </w:p>
    <w:p>
      <w:pPr>
        <w:pStyle w:val="ListBullet"/>
        <w:ind w:left="720"/>
      </w:pPr>
      <w:r>
        <w:t>Week 1: Orientation — company culture, brand values, REEL™ framework overview, facility tour</w:t>
      </w:r>
    </w:p>
    <w:p>
      <w:pPr>
        <w:pStyle w:val="ListBullet"/>
        <w:ind w:left="720"/>
      </w:pPr>
      <w:r>
        <w:t>Week 2: Systems training — Athena, Zenoti, patient portal, internal communications</w:t>
      </w:r>
    </w:p>
    <w:p>
      <w:pPr>
        <w:pStyle w:val="ListBullet"/>
        <w:ind w:left="720"/>
      </w:pPr>
      <w:r>
        <w:t>Week 3: Department-specific training — role-based workflows, shadowing assignments</w:t>
      </w:r>
    </w:p>
    <w:p>
      <w:pPr>
        <w:pStyle w:val="ListBullet"/>
        <w:ind w:left="720"/>
      </w:pPr>
      <w:r>
        <w:t>Week 4: Independent practice with mentor check-ins, competency assessment</w:t>
      </w:r>
    </w:p>
    <w:p>
      <w:pPr>
        <w:pStyle w:val="ListBullet"/>
        <w:ind w:left="720"/>
      </w:pPr>
      <w:r>
        <w:t>90-day probationary review with documented performance evaluation</w:t>
      </w:r>
    </w:p>
    <w:p>
      <w:pPr>
        <w:pStyle w:val="Heading3"/>
      </w:pPr>
      <w:r>
        <w:rPr>
          <w:rFonts w:ascii="Calibri" w:hAnsi="Calibri"/>
          <w:color w:val="1F4E79"/>
        </w:rPr>
        <w:t>Standard Operating Procedures (20 SOPs — 4 Departments)</w:t>
      </w:r>
    </w:p>
    <w:p>
      <w:pPr>
        <w:pStyle w:val="Heading4"/>
      </w:pPr>
      <w:r>
        <w:rPr>
          <w:rFonts w:ascii="Calibri" w:hAnsi="Calibri"/>
          <w:color w:val="1F4E79"/>
        </w:rPr>
        <w:t>Clinical (5 SOPs)</w:t>
      </w:r>
    </w:p>
    <w:p>
      <w:pPr>
        <w:pStyle w:val="ListBullet"/>
        <w:ind w:left="720"/>
      </w:pPr>
      <w:r>
        <w:t>SOP-C01: Patient intake and initial assessment workflow</w:t>
      </w:r>
    </w:p>
    <w:p>
      <w:pPr>
        <w:pStyle w:val="ListBullet"/>
        <w:ind w:left="720"/>
      </w:pPr>
      <w:r>
        <w:t>SOP-C02: IV therapy preparation, administration, and monitoring</w:t>
      </w:r>
    </w:p>
    <w:p>
      <w:pPr>
        <w:pStyle w:val="ListBullet"/>
        <w:ind w:left="720"/>
      </w:pPr>
      <w:r>
        <w:t>SOP-C03: Injection technique and post-injection observation protocol</w:t>
      </w:r>
    </w:p>
    <w:p>
      <w:pPr>
        <w:pStyle w:val="ListBullet"/>
        <w:ind w:left="720"/>
      </w:pPr>
      <w:r>
        <w:t>SOP-C04: Lab specimen collection, labeling, and chain-of-custody</w:t>
      </w:r>
    </w:p>
    <w:p>
      <w:pPr>
        <w:pStyle w:val="ListBullet"/>
        <w:ind w:left="720"/>
      </w:pPr>
      <w:r>
        <w:t>SOP-C05: Hormone therapy initiation, titration, and monitoring schedule</w:t>
      </w:r>
    </w:p>
    <w:p>
      <w:pPr>
        <w:pStyle w:val="Heading4"/>
      </w:pPr>
      <w:r>
        <w:rPr>
          <w:rFonts w:ascii="Calibri" w:hAnsi="Calibri"/>
          <w:color w:val="1F4E79"/>
        </w:rPr>
        <w:t>Administrative (5 SOPs)</w:t>
      </w:r>
    </w:p>
    <w:p>
      <w:pPr>
        <w:pStyle w:val="ListBullet"/>
        <w:ind w:left="720"/>
      </w:pPr>
      <w:r>
        <w:t>SOP-A01: New patient registration and insurance verification</w:t>
      </w:r>
    </w:p>
    <w:p>
      <w:pPr>
        <w:pStyle w:val="ListBullet"/>
        <w:ind w:left="720"/>
      </w:pPr>
      <w:r>
        <w:t>SOP-A02: Appointment scheduling, rescheduling, and cancellation policy</w:t>
      </w:r>
    </w:p>
    <w:p>
      <w:pPr>
        <w:pStyle w:val="ListBullet"/>
        <w:ind w:left="720"/>
      </w:pPr>
      <w:r>
        <w:t>SOP-A03: Membership enrollment, upgrade, downgrade, and termination</w:t>
      </w:r>
    </w:p>
    <w:p>
      <w:pPr>
        <w:pStyle w:val="ListBullet"/>
        <w:ind w:left="720"/>
      </w:pPr>
      <w:r>
        <w:t>SOP-A04: Referral program tracking and bonus disbursement</w:t>
      </w:r>
    </w:p>
    <w:p>
      <w:pPr>
        <w:pStyle w:val="ListBullet"/>
        <w:ind w:left="720"/>
      </w:pPr>
      <w:r>
        <w:t>SOP-A05: End-of-day reconciliation and cash drawer procedures</w:t>
      </w:r>
    </w:p>
    <w:p>
      <w:pPr>
        <w:pStyle w:val="Heading4"/>
      </w:pPr>
      <w:r>
        <w:rPr>
          <w:rFonts w:ascii="Calibri" w:hAnsi="Calibri"/>
          <w:color w:val="1F4E79"/>
        </w:rPr>
        <w:t>Billing (5 SOPs)</w:t>
      </w:r>
    </w:p>
    <w:p>
      <w:pPr>
        <w:pStyle w:val="ListBullet"/>
        <w:ind w:left="720"/>
      </w:pPr>
      <w:r>
        <w:t>SOP-B01: Superbill completion and CPT/ICD-10 code selection</w:t>
      </w:r>
    </w:p>
    <w:p>
      <w:pPr>
        <w:pStyle w:val="ListBullet"/>
        <w:ind w:left="720"/>
      </w:pPr>
      <w:r>
        <w:t>SOP-B02: Insurance claim submission and follow-up timeline</w:t>
      </w:r>
    </w:p>
    <w:p>
      <w:pPr>
        <w:pStyle w:val="ListBullet"/>
        <w:ind w:left="720"/>
      </w:pPr>
      <w:r>
        <w:t>SOP-B03: Denial management and appeal workflow</w:t>
      </w:r>
    </w:p>
    <w:p>
      <w:pPr>
        <w:pStyle w:val="ListBullet"/>
        <w:ind w:left="720"/>
      </w:pPr>
      <w:r>
        <w:t>SOP-B04: Patient balance collection and payment plan setup</w:t>
      </w:r>
    </w:p>
    <w:p>
      <w:pPr>
        <w:pStyle w:val="ListBullet"/>
        <w:ind w:left="720"/>
      </w:pPr>
      <w:r>
        <w:t>SOP-B05: Monthly revenue reconciliation and reporting</w:t>
      </w:r>
    </w:p>
    <w:p>
      <w:pPr>
        <w:pStyle w:val="Heading4"/>
      </w:pPr>
      <w:r>
        <w:rPr>
          <w:rFonts w:ascii="Calibri" w:hAnsi="Calibri"/>
          <w:color w:val="1F4E79"/>
        </w:rPr>
        <w:t>Operations (5 SOPs)</w:t>
      </w:r>
    </w:p>
    <w:p>
      <w:pPr>
        <w:pStyle w:val="ListBullet"/>
        <w:ind w:left="720"/>
      </w:pPr>
      <w:r>
        <w:t>SOP-O01: Opening and closing procedures (clinical and administrative)</w:t>
      </w:r>
    </w:p>
    <w:p>
      <w:pPr>
        <w:pStyle w:val="ListBullet"/>
        <w:ind w:left="720"/>
      </w:pPr>
      <w:r>
        <w:t>SOP-O02: Inventory receiving, inspection, and stocking</w:t>
      </w:r>
    </w:p>
    <w:p>
      <w:pPr>
        <w:pStyle w:val="ListBullet"/>
        <w:ind w:left="720"/>
      </w:pPr>
      <w:r>
        <w:t>SOP-O03: Equipment maintenance schedule and calibration log</w:t>
      </w:r>
    </w:p>
    <w:p>
      <w:pPr>
        <w:pStyle w:val="ListBullet"/>
        <w:ind w:left="720"/>
      </w:pPr>
      <w:r>
        <w:t>SOP-O04: Infection control and sterilization protocols</w:t>
      </w:r>
    </w:p>
    <w:p>
      <w:pPr>
        <w:pStyle w:val="ListBullet"/>
        <w:ind w:left="720"/>
      </w:pPr>
      <w:r>
        <w:t>SOP-O05: Emergency response procedures (medical, fire, security)</w:t>
      </w:r>
    </w:p>
    <w:p/>
    <w:p>
      <w:pPr>
        <w:pStyle w:val="Heading3"/>
      </w:pPr>
      <w:r>
        <w:rPr>
          <w:rFonts w:ascii="Calibri" w:hAnsi="Calibri"/>
          <w:color w:val="1F4E79"/>
        </w:rPr>
        <w:t>Training Modules (8 Modules)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60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Title</w:t>
            </w:r>
          </w:p>
        </w:tc>
        <w:tc>
          <w:tcPr>
            <w:tcW w:type="dxa" w:w="115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74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Audience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M01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REEL™ Align Method™ Certification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 hours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All clinical staff</w:t>
            </w:r>
          </w:p>
        </w:tc>
      </w:tr>
      <w:tr>
        <w:tc>
          <w:tcPr>
            <w:tcW w:type="dxa" w:w="86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M02</w:t>
            </w:r>
          </w:p>
        </w:tc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HIPAA Privacy &amp; Security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 hours</w:t>
            </w:r>
          </w:p>
        </w:tc>
        <w:tc>
          <w:tcPr>
            <w:tcW w:type="dxa" w:w="374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All staff (annual renewal)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M03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IV Therapy &amp; Injection Competency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 hours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Clinical staff (RN, NP, PA)</w:t>
            </w:r>
          </w:p>
        </w:tc>
      </w:tr>
      <w:tr>
        <w:tc>
          <w:tcPr>
            <w:tcW w:type="dxa" w:w="86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M04</w:t>
            </w:r>
          </w:p>
        </w:tc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Athena EHR &amp; Zenoti Operations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 hours</w:t>
            </w:r>
          </w:p>
        </w:tc>
        <w:tc>
          <w:tcPr>
            <w:tcW w:type="dxa" w:w="374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All staff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M05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Patient Communication &amp; De-escalation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 hours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Front desk, clinical staff</w:t>
            </w:r>
          </w:p>
        </w:tc>
      </w:tr>
      <w:tr>
        <w:tc>
          <w:tcPr>
            <w:tcW w:type="dxa" w:w="86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M06</w:t>
            </w:r>
          </w:p>
        </w:tc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Sales &amp; Membership Enrollment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 hours</w:t>
            </w:r>
          </w:p>
        </w:tc>
        <w:tc>
          <w:tcPr>
            <w:tcW w:type="dxa" w:w="374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Front desk, management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M07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OSHA Safety &amp; Bloodborne Pathogens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2 hours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All staff (annual renewal)</w:t>
            </w:r>
          </w:p>
        </w:tc>
      </w:tr>
      <w:tr>
        <w:tc>
          <w:tcPr>
            <w:tcW w:type="dxa" w:w="86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M08</w:t>
            </w:r>
          </w:p>
        </w:tc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ReelVerse AI™ Platform &amp; Coaching Tools</w:t>
            </w:r>
          </w:p>
        </w:tc>
        <w:tc>
          <w:tcPr>
            <w:tcW w:type="dxa" w:w="115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 hours</w:t>
            </w:r>
          </w:p>
        </w:tc>
        <w:tc>
          <w:tcPr>
            <w:tcW w:type="dxa" w:w="374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Coaches, clinical staff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Competency Tracking</w:t>
      </w:r>
    </w:p>
    <w:p>
      <w:pPr>
        <w:pStyle w:val="ListBullet"/>
        <w:ind w:left="720"/>
      </w:pPr>
      <w:r>
        <w:t>Skills checklist by role (clinical, administrative, billing, coaching)</w:t>
      </w:r>
    </w:p>
    <w:p>
      <w:pPr>
        <w:pStyle w:val="ListBullet"/>
        <w:ind w:left="720"/>
      </w:pPr>
      <w:r>
        <w:t>Proficiency levels: Awareness → Competent → Proficient → Expert</w:t>
      </w:r>
    </w:p>
    <w:p>
      <w:pPr>
        <w:pStyle w:val="ListBullet"/>
        <w:ind w:left="720"/>
      </w:pPr>
      <w:r>
        <w:t>Supervisor sign-off required for each competency milestone</w:t>
      </w:r>
    </w:p>
    <w:p>
      <w:pPr>
        <w:pStyle w:val="ListBullet"/>
        <w:ind w:left="720"/>
      </w:pPr>
      <w:r>
        <w:t>Annual recertification schedule with automated reminders</w:t>
      </w:r>
    </w:p>
    <w:p>
      <w:pPr>
        <w:pStyle w:val="ListBullet"/>
        <w:ind w:left="720"/>
      </w:pPr>
      <w:r>
        <w:t>Performance dashboard showing team-wide competency heat map</w:t>
      </w:r>
    </w:p>
    <w:p>
      <w:pPr>
        <w:pStyle w:val="ListBullet"/>
        <w:ind w:left="720"/>
      </w:pPr>
      <w:r>
        <w:t>Continuing education credit tracking linked to Academy content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7: Financial Projection Model</w:t>
      </w:r>
    </w:p>
    <w:p>
      <w:r>
        <w:t>The Shape The Wave Longevity™ financial model projects 12-month and 36-month revenue, costs, and profitability across all revenue streams.</w:t>
      </w:r>
    </w:p>
    <w:p>
      <w:pPr>
        <w:pStyle w:val="Heading2"/>
      </w:pPr>
      <w:r>
        <w:rPr>
          <w:rFonts w:ascii="Calibri" w:hAnsi="Calibri"/>
          <w:color w:val="1F4E79"/>
        </w:rPr>
        <w:t>Revenue Streams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Stream</w:t>
            </w:r>
          </w:p>
        </w:tc>
        <w:tc>
          <w:tcPr>
            <w:tcW w:type="dxa" w:w="57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Membership Recurring Revenue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Monthly fees from 5 tiers, projected with growth and churn assumptions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Starter Kit Revenue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One-time fees from new member enrollments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Bundle Sales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Product bundle revenue based on attach rate to membership tiers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Package Enrollment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Multi-session program revenue recognized over program duration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 La Carte Services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Individual service revenue from non-members and credit overage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Insurance Reimbursement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Collections from CPT-coded billable services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Supplement &amp; Product Sales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Direct retail product sales outside of bundles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Referral Program (Net)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Referral bonus payouts netted against new member LTV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Key Model Assumptions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Assumption</w:t>
            </w:r>
          </w:p>
        </w:tc>
        <w:tc>
          <w:tcPr>
            <w:tcW w:type="dxa" w:w="57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 / Range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Starting Members (Month 1)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50 (Essential: 20, Wellness: 15, Vitality: 8, Premium: 5, Concierge: 2)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Monthly New Member Growth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8-12% MoM for months 1-6, 5-8% for months 7-12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Monthly Churn Rate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3-5% (Essential), 2-4% (Wellness/Vitality), 1-2% (Premium/Concierge)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Bundle Attach Rate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25% of members purchase at least 1 bundle per quarter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Package Attach Rate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15% of members enroll in at least 1 package per year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 La Carte Mix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30% of total service revenue comes from non-members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Insurance Collection Rate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72% of billed amount (blended across payers)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Average Starter Kit Margin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60% gross margin on starter kits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Staff Cost as % of Revenue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30-35% target (inclusive of providers, admin, coaching)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Facility &amp; Overhead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15-18% of revenue (rent, utilities, insurance, technology)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Marketing Spend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8-12% of revenue (front-loaded in months 1-6)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Projection Summary (Year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57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Projected Range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 3 MRR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$12,500 - $15,800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 6 MRR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$28,000 - $35,500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 12 MRR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$55,000 - $72,000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Year 1 Total Revenue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$480,000 - $620,000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Year 1 Gross Margin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62-68%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Year 1 Net Margin (Pre-Tax)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15-22%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Break-Even Month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 4-6</w:t>
            </w:r>
          </w:p>
        </w:tc>
      </w:tr>
      <w:tr>
        <w:tc>
          <w:tcPr>
            <w:tcW w:type="dxa" w:w="360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Year 1 Active Members (End)</w:t>
            </w:r>
          </w:p>
        </w:tc>
        <w:tc>
          <w:tcPr>
            <w:tcW w:type="dxa" w:w="57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180 - 250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Growth Mode Scenarios</w:t>
      </w:r>
    </w:p>
    <w:p>
      <w:r>
        <w:t>The model supports three growth modes to stress-test assumptions:</w:t>
      </w:r>
    </w:p>
    <w:p>
      <w:pPr>
        <w:pStyle w:val="Heading3"/>
      </w:pPr>
      <w:r>
        <w:rPr>
          <w:rFonts w:ascii="Calibri" w:hAnsi="Calibri"/>
          <w:color w:val="1F4E79"/>
        </w:rPr>
        <w:t>Conservative Mode</w:t>
      </w:r>
    </w:p>
    <w:p>
      <w:pPr>
        <w:pStyle w:val="ListBullet"/>
        <w:ind w:left="720"/>
      </w:pPr>
      <w:r>
        <w:t>5% MoM growth, 5% churn, 15% bundle attach, 10% package attach</w:t>
      </w:r>
    </w:p>
    <w:p>
      <w:pPr>
        <w:pStyle w:val="ListBullet"/>
        <w:ind w:left="720"/>
      </w:pPr>
      <w:r>
        <w:t>Year 1 exit MRR: $42,000 | Total revenue: $380,000 | Net margin: 10-14%</w:t>
      </w:r>
    </w:p>
    <w:p>
      <w:pPr>
        <w:pStyle w:val="Heading3"/>
      </w:pPr>
      <w:r>
        <w:rPr>
          <w:rFonts w:ascii="Calibri" w:hAnsi="Calibri"/>
          <w:color w:val="1F4E79"/>
        </w:rPr>
        <w:t>Expected Mode</w:t>
      </w:r>
    </w:p>
    <w:p>
      <w:pPr>
        <w:pStyle w:val="ListBullet"/>
        <w:ind w:left="720"/>
      </w:pPr>
      <w:r>
        <w:t>10% MoM growth (slowing to 6%), 3.5% blended churn, 25% bundle, 15% package</w:t>
      </w:r>
    </w:p>
    <w:p>
      <w:pPr>
        <w:pStyle w:val="ListBullet"/>
        <w:ind w:left="720"/>
      </w:pPr>
      <w:r>
        <w:t>Year 1 exit MRR: $63,000 | Total revenue: $540,000 | Net margin: 17-20%</w:t>
      </w:r>
    </w:p>
    <w:p>
      <w:pPr>
        <w:pStyle w:val="Heading3"/>
      </w:pPr>
      <w:r>
        <w:rPr>
          <w:rFonts w:ascii="Calibri" w:hAnsi="Calibri"/>
          <w:color w:val="1F4E79"/>
        </w:rPr>
        <w:t>Aggressive Mode</w:t>
      </w:r>
    </w:p>
    <w:p>
      <w:pPr>
        <w:pStyle w:val="ListBullet"/>
        <w:ind w:left="720"/>
      </w:pPr>
      <w:r>
        <w:t>15% MoM growth (slowing to 8%), 2.5% churn, 35% bundle, 20% package</w:t>
      </w:r>
    </w:p>
    <w:p>
      <w:pPr>
        <w:pStyle w:val="ListBullet"/>
        <w:ind w:left="720"/>
      </w:pPr>
      <w:r>
        <w:t>Year 1 exit MRR: $88,000 | Total revenue: $720,000 | Net margin: 22-26%</w:t>
      </w:r>
    </w:p>
    <w:p>
      <w:pPr>
        <w:pStyle w:val="Heading2"/>
      </w:pPr>
      <w:r>
        <w:rPr>
          <w:rFonts w:ascii="Calibri" w:hAnsi="Calibri"/>
          <w:color w:val="1F4E79"/>
        </w:rPr>
        <w:t>Sensitivity Analysis</w:t>
      </w:r>
    </w:p>
    <w:p>
      <w:r>
        <w:t>The model includes sensitivity toggles for the following variables, each showing impact on Year 1 net margin:</w:t>
      </w:r>
    </w:p>
    <w:p>
      <w:pPr>
        <w:pStyle w:val="ListBullet"/>
        <w:ind w:left="720"/>
      </w:pPr>
      <w:r>
        <w:t>Churn rate: +/- 1% changes net margin by approximately +/- 3.5%</w:t>
      </w:r>
    </w:p>
    <w:p>
      <w:pPr>
        <w:pStyle w:val="ListBullet"/>
        <w:ind w:left="720"/>
      </w:pPr>
      <w:r>
        <w:t>New member growth rate: +/- 2% changes Year 1 revenue by +/- $45,000-$65,000</w:t>
      </w:r>
    </w:p>
    <w:p>
      <w:pPr>
        <w:pStyle w:val="ListBullet"/>
        <w:ind w:left="720"/>
      </w:pPr>
      <w:r>
        <w:t>Insurance collection rate: +/- 5% changes net margin by +/- 1.8%</w:t>
      </w:r>
    </w:p>
    <w:p>
      <w:pPr>
        <w:pStyle w:val="ListBullet"/>
        <w:ind w:left="720"/>
      </w:pPr>
      <w:r>
        <w:t>Average tier mix shift (up 1 tier): increases ARPM by $35-$50</w:t>
      </w:r>
    </w:p>
    <w:p>
      <w:pPr>
        <w:pStyle w:val="ListBullet"/>
        <w:ind w:left="720"/>
      </w:pPr>
      <w:r>
        <w:t>Bundle attach rate: +/- 5% changes revenue by +/- $18,000-$25,000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8: Optimization Summary</w:t>
      </w:r>
    </w:p>
    <w:p>
      <w:r>
        <w:t>Before-and-after comparison showing the impact of the 2025 business model restructuring on key financial and operational metrics.</w:t>
      </w:r>
    </w:p>
    <w:p>
      <w:pPr>
        <w:pStyle w:val="Heading2"/>
      </w:pPr>
      <w:r>
        <w:rPr>
          <w:rFonts w:ascii="Calibri" w:hAnsi="Calibri"/>
          <w:color w:val="1F4E79"/>
        </w:rPr>
        <w:t>Before vs. After Optimization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04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Before (2024 Baseline)</w:t>
            </w:r>
          </w:p>
        </w:tc>
        <w:tc>
          <w:tcPr>
            <w:tcW w:type="dxa" w:w="2592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After (2025 Optimized)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Overall Gross Margin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48-52%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64-70%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+16-18pp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Membership Revenue Mix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15% of total revenue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45% of total revenue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+30pp recurring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Monthly Recurring Revenue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$8,200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$55,000 - $72,000 (Yr 1 exit)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6.7x - 8.8x growth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Average Revenue Per Patient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$125/visit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$185/visit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+48% increase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Patient Retention (12-mo)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42%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72-78%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+30-36pp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Referral-Sourced Revenue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8%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22-28%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+14-20pp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Insurance Dependency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68% of revenue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38% of revenue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-30pp risk reduction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Customer Acquisition Cost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$285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$165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-42% reduction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LTV:CAC Ratio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2.1:1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4.8:1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+2.7x improvement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Credit Utilization Rate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N/A (no credits)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68-75%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New engagement metric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Bundle Attach Rate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N/A (no bundles)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25%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New revenue stream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Service Menu Size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18 services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50 services + 25 packages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2.8x expansion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Product Bundles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0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22 curated bundles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New AOV driver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CPT Codes Utilized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32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78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+144% billing breadth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Digital Patient Engagement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Paper forms, phone calls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Full portal + Mirror + app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Complete digitization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Staff Utilization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55%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75-80%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+20-25pp efficiency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Revenue per Square Foot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$385/yr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$620-$780/yr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+61-103% improvement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Break-Even Volume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185 visits/month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120 visits/month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-35% lower threshold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Net Margin (Pre-Tax)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6-9%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15-22%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+9-13pp profitability</w:t>
            </w:r>
          </w:p>
        </w:tc>
      </w:tr>
      <w:tr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Payback Period (New Member)</w:t>
            </w:r>
          </w:p>
        </w:tc>
        <w:tc>
          <w:tcPr>
            <w:tcW w:type="dxa" w:w="2304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8.5 months</w:t>
            </w:r>
          </w:p>
        </w:tc>
        <w:tc>
          <w:tcPr>
            <w:tcW w:type="dxa" w:w="2592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3.2 months</w:t>
            </w:r>
          </w:p>
        </w:tc>
        <w:tc>
          <w:tcPr>
            <w:tcW w:type="dxa" w:w="2160"/>
            <w:shd w:fill="D6E4F0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-62% faster recovery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Key Optimization Drivers</w:t>
      </w:r>
    </w:p>
    <w:p>
      <w:pPr>
        <w:pStyle w:val="Heading3"/>
      </w:pPr>
      <w:r>
        <w:rPr>
          <w:rFonts w:ascii="Calibri" w:hAnsi="Calibri"/>
          <w:color w:val="1F4E79"/>
        </w:rPr>
        <w:t>Membership-First Model</w:t>
      </w:r>
    </w:p>
    <w:p>
      <w:r>
        <w:t>Shifting from fee-for-service to recurring membership revenue creates predictable cash flow, reduces insurance dependency, and increases patient lifetime value.</w:t>
      </w:r>
    </w:p>
    <w:p>
      <w:pPr>
        <w:pStyle w:val="Heading3"/>
      </w:pPr>
      <w:r>
        <w:rPr>
          <w:rFonts w:ascii="Calibri" w:hAnsi="Calibri"/>
          <w:color w:val="1F4E79"/>
        </w:rPr>
        <w:t>Tiered Credit System</w:t>
      </w:r>
    </w:p>
    <w:p>
      <w:r>
        <w:t>Service credits drive utilization and engagement while creating natural upgrade incentives as patients experience value.</w:t>
      </w:r>
    </w:p>
    <w:p>
      <w:pPr>
        <w:pStyle w:val="Heading3"/>
      </w:pPr>
      <w:r>
        <w:rPr>
          <w:rFonts w:ascii="Calibri" w:hAnsi="Calibri"/>
          <w:color w:val="1F4E79"/>
        </w:rPr>
        <w:t>Bundled Product Strategy</w:t>
      </w:r>
    </w:p>
    <w:p>
      <w:r>
        <w:t>Pre-packaged bundles increase average order value by 35-45% vs. individual product sales while simplifying the purchase decision.</w:t>
      </w:r>
    </w:p>
    <w:p>
      <w:pPr>
        <w:pStyle w:val="Heading3"/>
      </w:pPr>
      <w:r>
        <w:rPr>
          <w:rFonts w:ascii="Calibri" w:hAnsi="Calibri"/>
          <w:color w:val="1F4E79"/>
        </w:rPr>
        <w:t>Structured Packages</w:t>
      </w:r>
    </w:p>
    <w:p>
      <w:r>
        <w:t>Multi-session programs improve clinical outcomes (higher compliance) while pre-committing revenue and reducing scheduling gaps.</w:t>
      </w:r>
    </w:p>
    <w:p>
      <w:pPr>
        <w:pStyle w:val="Heading3"/>
      </w:pPr>
      <w:r>
        <w:rPr>
          <w:rFonts w:ascii="Calibri" w:hAnsi="Calibri"/>
          <w:color w:val="1F4E79"/>
        </w:rPr>
        <w:t>Expanded CPT Utilization</w:t>
      </w:r>
    </w:p>
    <w:p>
      <w:r>
        <w:t>Billing 78 codes vs. 32 captures more reimbursable services, reducing the amount of unbilled clinical work.</w:t>
      </w:r>
    </w:p>
    <w:p>
      <w:pPr>
        <w:pStyle w:val="Heading3"/>
      </w:pPr>
      <w:r>
        <w:rPr>
          <w:rFonts w:ascii="Calibri" w:hAnsi="Calibri"/>
          <w:color w:val="1F4E79"/>
        </w:rPr>
        <w:t>Referral Engine</w:t>
      </w:r>
    </w:p>
    <w:p>
      <w:r>
        <w:t>Tiered referral bonuses create a self-reinforcing growth loop with CAC 60-70% lower than paid acquisition channels.</w:t>
      </w:r>
    </w:p>
    <w:p>
      <w:pPr>
        <w:pStyle w:val="Heading3"/>
      </w:pPr>
      <w:r>
        <w:rPr>
          <w:rFonts w:ascii="Calibri" w:hAnsi="Calibri"/>
          <w:color w:val="1F4E79"/>
        </w:rPr>
        <w:t>Digital Infrastructure</w:t>
      </w:r>
    </w:p>
    <w:p>
      <w:r>
        <w:t>The 10-tab platform eliminates manual processes, reduces admin staff burden by 25-30%, and enables data-driven decision-making.</w:t>
      </w:r>
    </w:p>
    <w:p>
      <w:pPr>
        <w:pStyle w:val="Heading3"/>
      </w:pPr>
      <w:r>
        <w:rPr>
          <w:rFonts w:ascii="Calibri" w:hAnsi="Calibri"/>
          <w:color w:val="1F4E79"/>
        </w:rPr>
        <w:t>AI-Powered Personalization</w:t>
      </w:r>
    </w:p>
    <w:p>
      <w:r>
        <w:t>ReelVerse AI™ protocols increase adherence rates and clinical outcomes, driving retention and word-of-mouth growth.</w:t>
      </w:r>
    </w:p>
    <w:p/>
    <w:p>
      <w:pPr>
        <w:jc w:val="center"/>
      </w:pPr>
      <w:r>
        <w:rPr>
          <w:rFonts w:ascii="Calibri" w:hAnsi="Calibri"/>
          <w:color w:val="666666"/>
          <w:sz w:val="18"/>
        </w:rPr>
        <w:t>────────────────────────────────────────────────────────────</w:t>
        <w:br/>
        <w:t>Shape The Wave Longevity™ — Gurnee, IL | 847-625-8300 | shapethewave.com</w:t>
        <w:br/>
        <w:t>© 2025 Shape The Wave Longevity. All rights reserved.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>Shape The Wave Longevity™ — Gurnee, IL | 847-625-8300 | shapethewave.com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