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PSMA</w:t>
      </w:r>
      <w:r>
        <w:t xml:space="preserve"> </w:t>
      </w:r>
      <w:r>
        <w:t xml:space="preserve">PET/CT</w:t>
      </w:r>
      <w:r>
        <w:t xml:space="preserve"> </w:t>
      </w:r>
      <w:r>
        <w:t xml:space="preserve">Clinical</w:t>
      </w:r>
      <w:r>
        <w:t xml:space="preserve"> </w:t>
      </w:r>
      <w:r>
        <w:t xml:space="preserve">Reporting</w:t>
      </w:r>
      <w:r>
        <w:t xml:space="preserve"> </w:t>
      </w:r>
      <w:r>
        <w:t xml:space="preserve">Mode</w:t>
      </w:r>
    </w:p>
    <w:p>
      <w:pPr>
        <w:pStyle w:val="Subtitle"/>
      </w:pPr>
      <w:r>
        <w:t xml:space="preserve">Software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UX</w:t>
      </w:r>
      <w:r>
        <w:t xml:space="preserve"> </w:t>
      </w:r>
      <w:r>
        <w:t xml:space="preserve">Workflow</w:t>
      </w:r>
      <w:r>
        <w:t xml:space="preserve"> </w:t>
      </w:r>
      <w:r>
        <w:t xml:space="preserve">and</w:t>
      </w:r>
      <w:r>
        <w:t xml:space="preserve"> </w:t>
      </w:r>
      <w:r>
        <w:t xml:space="preserve">Semi-Structured</w:t>
      </w:r>
      <w:r>
        <w:t xml:space="preserve"> </w:t>
      </w:r>
      <w:r>
        <w:t xml:space="preserve">Reporting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Developer</w:t>
      </w:r>
      <w:r>
        <w:t xml:space="preserve"> </w:t>
      </w:r>
      <w:r>
        <w:t xml:space="preserve">handoff</w:t>
      </w:r>
      <w:r>
        <w:t xml:space="preserve"> </w:t>
      </w:r>
      <w:r>
        <w:t xml:space="preserve">specification</w:t>
      </w:r>
    </w:p>
    <w:p>
      <w:pPr>
        <w:pStyle w:val="Date"/>
      </w:pPr>
      <w:r>
        <w:t xml:space="preserve">2026-09-13</w:t>
      </w:r>
    </w:p>
    <w:bookmarkStart w:id="22" w:name="document-purpose"/>
    <w:p>
      <w:pPr>
        <w:pStyle w:val="Heading1"/>
      </w:pPr>
      <w:r>
        <w:t xml:space="preserve">1. Document purpose</w:t>
      </w:r>
    </w:p>
    <w:p>
      <w:pPr>
        <w:pStyle w:val="FirstParagraph"/>
      </w:pPr>
      <w:r>
        <w:t xml:space="preserve">This document specifies the</w:t>
      </w:r>
      <w:r>
        <w:t xml:space="preserve"> </w:t>
      </w:r>
      <w:r>
        <w:rPr>
          <w:b/>
          <w:bCs/>
        </w:rPr>
        <w:t xml:space="preserve">Clinical Reporting Mode</w:t>
      </w:r>
      <w:r>
        <w:t xml:space="preserve"> </w:t>
      </w:r>
      <w:r>
        <w:t xml:space="preserve">of the existing PSMA PET/CT workstation. It is intended as an implementation handoff for a professional software developer who may use</w:t>
      </w:r>
      <w:r>
        <w:t xml:space="preserve"> </w:t>
      </w:r>
      <w:r>
        <w:rPr>
          <w:b/>
          <w:bCs/>
        </w:rPr>
        <w:t xml:space="preserve">Gemini Pro or another coding assistant</w:t>
      </w:r>
      <w:r>
        <w:t xml:space="preserve"> </w:t>
      </w:r>
      <w:r>
        <w:t xml:space="preserve">to refactor the current codebase.</w:t>
      </w:r>
    </w:p>
    <w:p>
      <w:pPr>
        <w:pStyle w:val="BodyText"/>
      </w:pPr>
      <w:r>
        <w:t xml:space="preserve">The goal is not to build a second application. Scientific Annotation Mode and Clinical Reporting Mode should share the same core services: DICOM/PET/CT loading, multimodal visualization, segmentation, promptable segmentation, anatomical localization, lesion objects, quantitative measurements, longitudinal registration, lesion matching, reference-tissue measurements, and export infrastructure. The clinical mode is a different</w:t>
      </w:r>
      <w:r>
        <w:t xml:space="preserve"> </w:t>
      </w:r>
      <w:r>
        <w:rPr>
          <w:b/>
          <w:bCs/>
        </w:rPr>
        <w:t xml:space="preserve">workflow layer</w:t>
      </w:r>
      <w:r>
        <w:t xml:space="preserve"> </w:t>
      </w:r>
      <w:r>
        <w:t xml:space="preserve">optimized for routine reporting rather than exhaustive ground-truth annotation.</w:t>
      </w:r>
    </w:p>
    <w:p>
      <w:pPr>
        <w:pStyle w:val="BodyText"/>
      </w:pPr>
      <w:r>
        <w:t xml:space="preserve">The target environment is a radiology/nuclear-medicine workstation 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high-resolution diagnostic portrait monitor for the current examination.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M2:</w:t>
      </w:r>
      <w:r>
        <w:t xml:space="preserve"> </w:t>
      </w:r>
      <w:r>
        <w:t xml:space="preserve">high-resolution diagnostic portrait monitor for prior/longitudinal/whole-body context.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standard landscape support monitor for clinical context, workflow control, staging/response, dictation, report composition, and key-image management.</w:t>
      </w:r>
    </w:p>
    <w:p>
      <w:pPr>
        <w:pStyle w:val="FirstParagraph"/>
      </w:pPr>
      <w:r>
        <w:t xml:space="preserve">The final product should support the typical PSMA PET/CT scenarios:</w:t>
      </w:r>
    </w:p>
    <w:p>
      <w:pPr>
        <w:pStyle w:val="Compact"/>
        <w:numPr>
          <w:ilvl w:val="0"/>
          <w:numId w:val="1002"/>
        </w:numPr>
      </w:pPr>
      <w:r>
        <w:t xml:space="preserve">Initial staging.</w:t>
      </w:r>
    </w:p>
    <w:p>
      <w:pPr>
        <w:pStyle w:val="Compact"/>
        <w:numPr>
          <w:ilvl w:val="0"/>
          <w:numId w:val="1002"/>
        </w:numPr>
      </w:pPr>
      <w:r>
        <w:t xml:space="preserve">Biochemical recurrence/restaging.</w:t>
      </w:r>
    </w:p>
    <w:p>
      <w:pPr>
        <w:pStyle w:val="Compact"/>
        <w:numPr>
          <w:ilvl w:val="0"/>
          <w:numId w:val="1002"/>
        </w:numPr>
      </w:pPr>
      <w:r>
        <w:t xml:space="preserve">Interim/response staging.</w:t>
      </w:r>
    </w:p>
    <w:p>
      <w:pPr>
        <w:pStyle w:val="Compact"/>
        <w:numPr>
          <w:ilvl w:val="0"/>
          <w:numId w:val="1002"/>
        </w:numPr>
      </w:pPr>
      <w:r>
        <w:t xml:space="preserve">Pre-radioligand-therapy baseline.</w:t>
      </w:r>
    </w:p>
    <w:p>
      <w:pPr>
        <w:pStyle w:val="Compact"/>
        <w:numPr>
          <w:ilvl w:val="0"/>
          <w:numId w:val="1002"/>
        </w:numPr>
      </w:pPr>
      <w:r>
        <w:t xml:space="preserve">Post-radioligand-therapy follow-up.</w:t>
      </w:r>
    </w:p>
    <w:p>
      <w:pPr>
        <w:pStyle w:val="Compact"/>
        <w:numPr>
          <w:ilvl w:val="0"/>
          <w:numId w:val="1002"/>
        </w:numPr>
      </w:pPr>
      <w:r>
        <w:t xml:space="preserve">General restaging/follow-up.</w:t>
      </w:r>
    </w:p>
    <w:p>
      <w:pPr>
        <w:pStyle w:val="FirstParagraph"/>
      </w:pPr>
      <w:r>
        <w:t xml:space="preserve">Formal RECIST 1.1 support should be available only when the CT acquisition is suitable and the physician explicitly activates it. PROMISE/miTNM and PSMA-specific response logic should be rule-based and physician-confirmed. LLMs are used for language generation and structured extraction,</w:t>
      </w:r>
      <w:r>
        <w:t xml:space="preserve"> </w:t>
      </w:r>
      <w:r>
        <w:rPr>
          <w:b/>
          <w:bCs/>
        </w:rPr>
        <w:t xml:space="preserve">not as the authority for quantitative measurements or staging rules</w:t>
      </w:r>
      <w:r>
        <w:t xml:space="preserve">.</w:t>
      </w:r>
    </w:p>
    <w:bookmarkStart w:id="20" w:name="primary-objective"/>
    <w:p>
      <w:pPr>
        <w:pStyle w:val="Heading2"/>
      </w:pPr>
      <w:r>
        <w:t xml:space="preserve">1.1 Primary objective</w:t>
      </w:r>
    </w:p>
    <w:p>
      <w:pPr>
        <w:pStyle w:val="FirstParagraph"/>
      </w:pPr>
      <w:r>
        <w:t xml:space="preserve">Enable a radiologist/nuclear medicine physician to move efficiently from clinical question to signed report:</w:t>
      </w:r>
    </w:p>
    <w:p>
      <w:pPr>
        <w:pStyle w:val="BodyText"/>
      </w:pPr>
      <w:r>
        <w:rPr>
          <w:rStyle w:val="VerbatimChar"/>
        </w:rPr>
        <w:t xml:space="preserve">CASE SETUP -&gt; READ -&gt; ASSESS -&gt; DICTATE -&gt; REPORT -&gt; VALIDATE -&gt; SIGN</w:t>
      </w:r>
    </w:p>
    <w:p>
      <w:pPr>
        <w:pStyle w:val="BodyText"/>
      </w:pPr>
      <w:r>
        <w:t xml:space="preserve">The software should perform routine mechanical work automatically:</w:t>
      </w:r>
    </w:p>
    <w:p>
      <w:pPr>
        <w:pStyle w:val="Compact"/>
        <w:numPr>
          <w:ilvl w:val="0"/>
          <w:numId w:val="1003"/>
        </w:numPr>
      </w:pPr>
      <w:r>
        <w:t xml:space="preserve">load and synchronize relevant current/prior imaging,</w:t>
      </w:r>
    </w:p>
    <w:p>
      <w:pPr>
        <w:pStyle w:val="Compact"/>
        <w:numPr>
          <w:ilvl w:val="0"/>
          <w:numId w:val="1003"/>
        </w:numPr>
      </w:pPr>
      <w:r>
        <w:t xml:space="preserve">surface findings that actually require physician attention,</w:t>
      </w:r>
    </w:p>
    <w:p>
      <w:pPr>
        <w:pStyle w:val="Compact"/>
        <w:numPr>
          <w:ilvl w:val="0"/>
          <w:numId w:val="1003"/>
        </w:numPr>
      </w:pPr>
      <w:r>
        <w:t xml:space="preserve">reuse structured data from segmentation and longitudinal tracking,</w:t>
      </w:r>
    </w:p>
    <w:p>
      <w:pPr>
        <w:pStyle w:val="Compact"/>
        <w:numPr>
          <w:ilvl w:val="0"/>
          <w:numId w:val="1003"/>
        </w:numPr>
      </w:pPr>
      <w:r>
        <w:t xml:space="preserve">calculate quantitative changes,</w:t>
      </w:r>
    </w:p>
    <w:p>
      <w:pPr>
        <w:pStyle w:val="Compact"/>
        <w:numPr>
          <w:ilvl w:val="0"/>
          <w:numId w:val="1003"/>
        </w:numPr>
      </w:pPr>
      <w:r>
        <w:t xml:space="preserve">suggest guideline-based staging/response classifications,</w:t>
      </w:r>
    </w:p>
    <w:p>
      <w:pPr>
        <w:pStyle w:val="Compact"/>
        <w:numPr>
          <w:ilvl w:val="0"/>
          <w:numId w:val="1003"/>
        </w:numPr>
      </w:pPr>
      <w:r>
        <w:t xml:space="preserve">preserve and compare prior report content,</w:t>
      </w:r>
    </w:p>
    <w:p>
      <w:pPr>
        <w:pStyle w:val="Compact"/>
        <w:numPr>
          <w:ilvl w:val="0"/>
          <w:numId w:val="1003"/>
        </w:numPr>
      </w:pPr>
      <w:r>
        <w:t xml:space="preserve">convert physician dictation plus structured findings into a concise semi-structured report,</w:t>
      </w:r>
    </w:p>
    <w:p>
      <w:pPr>
        <w:pStyle w:val="Compact"/>
        <w:numPr>
          <w:ilvl w:val="0"/>
          <w:numId w:val="1003"/>
        </w:numPr>
      </w:pPr>
      <w:r>
        <w:t xml:space="preserve">identify conflicts before sign-off,</w:t>
      </w:r>
    </w:p>
    <w:p>
      <w:pPr>
        <w:pStyle w:val="Compact"/>
        <w:numPr>
          <w:ilvl w:val="0"/>
          <w:numId w:val="1003"/>
        </w:numPr>
      </w:pPr>
      <w:r>
        <w:t xml:space="preserve">attach physician-selected key images automatically.</w:t>
      </w:r>
    </w:p>
    <w:bookmarkEnd w:id="20"/>
    <w:bookmarkStart w:id="21" w:name="clinical-unit-of-work"/>
    <w:p>
      <w:pPr>
        <w:pStyle w:val="Heading2"/>
      </w:pPr>
      <w:r>
        <w:t xml:space="preserve">1.2 Clinical unit of work</w:t>
      </w:r>
    </w:p>
    <w:p>
      <w:pPr>
        <w:pStyle w:val="FirstParagraph"/>
      </w:pPr>
      <w:r>
        <w:t xml:space="preserve">The primary clinical unit is the</w:t>
      </w:r>
      <w:r>
        <w:t xml:space="preserve"> </w:t>
      </w:r>
      <w:r>
        <w:rPr>
          <w:b/>
          <w:bCs/>
        </w:rPr>
        <w:t xml:space="preserve">case</w:t>
      </w:r>
      <w:r>
        <w:t xml:space="preserve">, but lesion objects remain the evidence layer underneath the case. The physician should not be forced to process every lesion individually in disseminated disease.</w:t>
      </w:r>
    </w:p>
    <w:p>
      <w:pPr>
        <w:pStyle w:val="BodyText"/>
      </w:pPr>
      <w:r>
        <w:t xml:space="preserve">The interface therefore distinguishes: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machine lesion set:</w:t>
      </w:r>
      <w:r>
        <w:t xml:space="preserve"> </w:t>
      </w:r>
      <w:r>
        <w:t xml:space="preserve">all detected/segmented lesions retained for quantification and research.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Clinically relevant findings:</w:t>
      </w:r>
      <w:r>
        <w:t xml:space="preserve"> </w:t>
      </w:r>
      <w:r>
        <w:t xml:space="preserve">lesions or lesion groups that change staging, response, management, diagnostic certainty, or the report.</w:t>
      </w:r>
    </w:p>
    <w:p>
      <w:pPr>
        <w:pStyle w:val="FirstParagraph"/>
      </w:pPr>
      <w:r>
        <w:t xml:space="preserve">This distinction is fundamental for efficiency.</w:t>
      </w:r>
    </w:p>
    <w:bookmarkEnd w:id="21"/>
    <w:bookmarkEnd w:id="22"/>
    <w:bookmarkStart w:id="30" w:name="product-principles"/>
    <w:p>
      <w:pPr>
        <w:pStyle w:val="Heading1"/>
      </w:pPr>
      <w:r>
        <w:t xml:space="preserve">2. Product principles</w:t>
      </w:r>
    </w:p>
    <w:bookmarkStart w:id="23" w:name="Xb1219e938222e554ae1ccd32bad955d9e91f9dd"/>
    <w:p>
      <w:pPr>
        <w:pStyle w:val="Heading2"/>
      </w:pPr>
      <w:r>
        <w:t xml:space="preserve">2.1 Diagnostic monitors show images; support monitor manages workflow</w:t>
      </w:r>
    </w:p>
    <w:p>
      <w:pPr>
        <w:pStyle w:val="FirstParagraph"/>
      </w:pPr>
      <w:r>
        <w:t xml:space="preserve">M1 and M2 are diagnostic displays. Permanent large tables, long forms, report prose, model-selection controls, and workflow buttons should not consume diagnostic image space. M3 may be information-dense because it is not used for primary diagnostic pixel evaluation.</w:t>
      </w:r>
    </w:p>
    <w:bookmarkEnd w:id="23"/>
    <w:bookmarkStart w:id="24" w:name="X26ff5ea29a32b0327f2730c49d2c6dd4ee8c08f"/>
    <w:p>
      <w:pPr>
        <w:pStyle w:val="Heading2"/>
      </w:pPr>
      <w:r>
        <w:t xml:space="preserve">2.2 The physician interprets; the software structures</w:t>
      </w:r>
    </w:p>
    <w:p>
      <w:pPr>
        <w:pStyle w:val="FirstParagraph"/>
      </w:pPr>
      <w:r>
        <w:t xml:space="preserve">The physician remains responsible for medical interpretation. The software should:</w:t>
      </w:r>
    </w:p>
    <w:p>
      <w:pPr>
        <w:pStyle w:val="Compact"/>
        <w:numPr>
          <w:ilvl w:val="0"/>
          <w:numId w:val="1005"/>
        </w:numPr>
      </w:pPr>
      <w:r>
        <w:t xml:space="preserve">measure,</w:t>
      </w:r>
    </w:p>
    <w:p>
      <w:pPr>
        <w:pStyle w:val="Compact"/>
        <w:numPr>
          <w:ilvl w:val="0"/>
          <w:numId w:val="1005"/>
        </w:numPr>
      </w:pPr>
      <w:r>
        <w:t xml:space="preserve">compare,</w:t>
      </w:r>
    </w:p>
    <w:p>
      <w:pPr>
        <w:pStyle w:val="Compact"/>
        <w:numPr>
          <w:ilvl w:val="0"/>
          <w:numId w:val="1005"/>
        </w:numPr>
      </w:pPr>
      <w:r>
        <w:t xml:space="preserve">calculate,</w:t>
      </w:r>
    </w:p>
    <w:p>
      <w:pPr>
        <w:pStyle w:val="Compact"/>
        <w:numPr>
          <w:ilvl w:val="0"/>
          <w:numId w:val="1005"/>
        </w:numPr>
      </w:pPr>
      <w:r>
        <w:t xml:space="preserve">organize,</w:t>
      </w:r>
    </w:p>
    <w:p>
      <w:pPr>
        <w:pStyle w:val="Compact"/>
        <w:numPr>
          <w:ilvl w:val="0"/>
          <w:numId w:val="1005"/>
        </w:numPr>
      </w:pPr>
      <w:r>
        <w:t xml:space="preserve">retrieve prior information,</w:t>
      </w:r>
    </w:p>
    <w:p>
      <w:pPr>
        <w:pStyle w:val="Compact"/>
        <w:numPr>
          <w:ilvl w:val="0"/>
          <w:numId w:val="1005"/>
        </w:numPr>
      </w:pPr>
      <w:r>
        <w:t xml:space="preserve">expose rule-based derived results,</w:t>
      </w:r>
    </w:p>
    <w:p>
      <w:pPr>
        <w:pStyle w:val="Compact"/>
        <w:numPr>
          <w:ilvl w:val="0"/>
          <w:numId w:val="1005"/>
        </w:numPr>
      </w:pPr>
      <w:r>
        <w:t xml:space="preserve">generate language only after the underlying facts are known.</w:t>
      </w:r>
    </w:p>
    <w:bookmarkEnd w:id="24"/>
    <w:bookmarkStart w:id="25" w:name="context-sensitive-guided-workflow"/>
    <w:p>
      <w:pPr>
        <w:pStyle w:val="Heading2"/>
      </w:pPr>
      <w:r>
        <w:t xml:space="preserve">2.3 Context-sensitive guided workflow</w:t>
      </w:r>
    </w:p>
    <w:p>
      <w:pPr>
        <w:pStyle w:val="FirstParagraph"/>
      </w:pPr>
      <w:r>
        <w:t xml:space="preserve">The interface should not expose every possible field at all times. Case type drives the active workflow and visible questions. For example:</w:t>
      </w:r>
    </w:p>
    <w:p>
      <w:pPr>
        <w:pStyle w:val="Compact"/>
        <w:numPr>
          <w:ilvl w:val="0"/>
          <w:numId w:val="1006"/>
        </w:numPr>
      </w:pPr>
      <w:r>
        <w:t xml:space="preserve">Initial staging emphasizes primary tumor, nodal and metastatic distribution, and miTNM.</w:t>
      </w:r>
    </w:p>
    <w:p>
      <w:pPr>
        <w:pStyle w:val="Compact"/>
        <w:numPr>
          <w:ilvl w:val="0"/>
          <w:numId w:val="1006"/>
        </w:numPr>
      </w:pPr>
      <w:r>
        <w:t xml:space="preserve">BCR emphasizes recurrence location, PSA context, prior therapy, and disease compartments.</w:t>
      </w:r>
    </w:p>
    <w:p>
      <w:pPr>
        <w:pStyle w:val="Compact"/>
        <w:numPr>
          <w:ilvl w:val="0"/>
          <w:numId w:val="1006"/>
        </w:numPr>
      </w:pPr>
      <w:r>
        <w:t xml:space="preserve">Post-RLT emphasizes current-vs-baseline/current-vs-previous comparison, new lesions, disease burden, and PSMA response.</w:t>
      </w:r>
    </w:p>
    <w:bookmarkEnd w:id="25"/>
    <w:bookmarkStart w:id="26" w:name="X8ffa4c04ad10479531fd34cba4692121d991aab"/>
    <w:p>
      <w:pPr>
        <w:pStyle w:val="Heading2"/>
      </w:pPr>
      <w:r>
        <w:t xml:space="preserve">2.4 Semi-structured report, not a visible database dump</w:t>
      </w:r>
    </w:p>
    <w:p>
      <w:pPr>
        <w:pStyle w:val="FirstParagraph"/>
      </w:pPr>
      <w:r>
        <w:t xml:space="preserve">The final report must remain readable as normal clinical prose. Structured lesion data remain underneath and generate the text, staging, response, tables, and images.</w:t>
      </w:r>
    </w:p>
    <w:bookmarkEnd w:id="26"/>
    <w:bookmarkStart w:id="27" w:name="Xb56ffeeec08e0f8bc8c9ee6ea37798723645e7e"/>
    <w:p>
      <w:pPr>
        <w:pStyle w:val="Heading2"/>
      </w:pPr>
      <w:r>
        <w:t xml:space="preserve">2.5 Previous report is context, never current truth</w:t>
      </w:r>
    </w:p>
    <w:p>
      <w:pPr>
        <w:pStyle w:val="FirstParagraph"/>
      </w:pPr>
      <w:r>
        <w:t xml:space="preserve">A previous report may be reused as a template, but old statements must not silently persist. The software should compare previous statements with current structured findings and explicitly flag contradictions.</w:t>
      </w:r>
    </w:p>
    <w:bookmarkEnd w:id="27"/>
    <w:bookmarkStart w:id="28" w:name="Xc1e2ac27a6039db262a742b6453aaecd8680b41"/>
    <w:p>
      <w:pPr>
        <w:pStyle w:val="Heading2"/>
      </w:pPr>
      <w:r>
        <w:t xml:space="preserve">2.6 Deterministic medical facts, generative language</w:t>
      </w:r>
    </w:p>
    <w:p>
      <w:pPr>
        <w:pStyle w:val="FirstParagraph"/>
      </w:pPr>
      <w:r>
        <w:t xml:space="preserve">The following must be deterministic or physician-entered and must never be invented by an LLM:</w:t>
      </w:r>
    </w:p>
    <w:p>
      <w:pPr>
        <w:pStyle w:val="Compact"/>
        <w:numPr>
          <w:ilvl w:val="0"/>
          <w:numId w:val="1007"/>
        </w:numPr>
      </w:pPr>
      <w:r>
        <w:t xml:space="preserve">SUV measurements,</w:t>
      </w:r>
    </w:p>
    <w:p>
      <w:pPr>
        <w:pStyle w:val="Compact"/>
        <w:numPr>
          <w:ilvl w:val="0"/>
          <w:numId w:val="1007"/>
        </w:numPr>
      </w:pPr>
      <w:r>
        <w:t xml:space="preserve">lesion dimensions and volumes,</w:t>
      </w:r>
    </w:p>
    <w:p>
      <w:pPr>
        <w:pStyle w:val="Compact"/>
        <w:numPr>
          <w:ilvl w:val="0"/>
          <w:numId w:val="1007"/>
        </w:numPr>
      </w:pPr>
      <w:r>
        <w:t xml:space="preserve">TMTV and lesion counts,</w:t>
      </w:r>
    </w:p>
    <w:p>
      <w:pPr>
        <w:pStyle w:val="Compact"/>
        <w:numPr>
          <w:ilvl w:val="0"/>
          <w:numId w:val="1007"/>
        </w:numPr>
      </w:pPr>
      <w:r>
        <w:t xml:space="preserve">anatomical laterality,</w:t>
      </w:r>
    </w:p>
    <w:p>
      <w:pPr>
        <w:pStyle w:val="Compact"/>
        <w:numPr>
          <w:ilvl w:val="0"/>
          <w:numId w:val="1007"/>
        </w:numPr>
      </w:pPr>
      <w:r>
        <w:t xml:space="preserve">timepoint identity,</w:t>
      </w:r>
    </w:p>
    <w:p>
      <w:pPr>
        <w:pStyle w:val="Compact"/>
        <w:numPr>
          <w:ilvl w:val="0"/>
          <w:numId w:val="1007"/>
        </w:numPr>
      </w:pPr>
      <w:r>
        <w:t xml:space="preserve">lesion-track identity,</w:t>
      </w:r>
    </w:p>
    <w:p>
      <w:pPr>
        <w:pStyle w:val="Compact"/>
        <w:numPr>
          <w:ilvl w:val="0"/>
          <w:numId w:val="1007"/>
        </w:numPr>
      </w:pPr>
      <w:r>
        <w:t xml:space="preserve">current/prior numerical deltas,</w:t>
      </w:r>
    </w:p>
    <w:p>
      <w:pPr>
        <w:pStyle w:val="Compact"/>
        <w:numPr>
          <w:ilvl w:val="0"/>
          <w:numId w:val="1007"/>
        </w:numPr>
      </w:pPr>
      <w:r>
        <w:t xml:space="preserve">reference tissue measurements,</w:t>
      </w:r>
    </w:p>
    <w:p>
      <w:pPr>
        <w:pStyle w:val="Compact"/>
        <w:numPr>
          <w:ilvl w:val="0"/>
          <w:numId w:val="1007"/>
        </w:numPr>
      </w:pPr>
      <w:r>
        <w:t xml:space="preserve">PROMISE/miTNM rule execution,</w:t>
      </w:r>
    </w:p>
    <w:p>
      <w:pPr>
        <w:pStyle w:val="Compact"/>
        <w:numPr>
          <w:ilvl w:val="0"/>
          <w:numId w:val="1007"/>
        </w:numPr>
      </w:pPr>
      <w:r>
        <w:t xml:space="preserve">RECIP rule execution,</w:t>
      </w:r>
    </w:p>
    <w:p>
      <w:pPr>
        <w:pStyle w:val="Compact"/>
        <w:numPr>
          <w:ilvl w:val="0"/>
          <w:numId w:val="1007"/>
        </w:numPr>
      </w:pPr>
      <w:r>
        <w:t xml:space="preserve">RECIST calculations,</w:t>
      </w:r>
    </w:p>
    <w:p>
      <w:pPr>
        <w:pStyle w:val="Compact"/>
        <w:numPr>
          <w:ilvl w:val="0"/>
          <w:numId w:val="1007"/>
        </w:numPr>
      </w:pPr>
      <w:r>
        <w:t xml:space="preserve">tracer/activity/uptake-time metadata,</w:t>
      </w:r>
    </w:p>
    <w:p>
      <w:pPr>
        <w:pStyle w:val="Compact"/>
        <w:numPr>
          <w:ilvl w:val="0"/>
          <w:numId w:val="1007"/>
        </w:numPr>
      </w:pPr>
      <w:r>
        <w:t xml:space="preserve">examination dates,</w:t>
      </w:r>
    </w:p>
    <w:p>
      <w:pPr>
        <w:pStyle w:val="Compact"/>
        <w:numPr>
          <w:ilvl w:val="0"/>
          <w:numId w:val="1007"/>
        </w:numPr>
      </w:pPr>
      <w:r>
        <w:t xml:space="preserve">segmentation geometry.</w:t>
      </w:r>
    </w:p>
    <w:p>
      <w:pPr>
        <w:pStyle w:val="FirstParagraph"/>
      </w:pPr>
      <w:r>
        <w:t xml:space="preserve">The LLM may:</w:t>
      </w:r>
    </w:p>
    <w:p>
      <w:pPr>
        <w:pStyle w:val="Compact"/>
        <w:numPr>
          <w:ilvl w:val="0"/>
          <w:numId w:val="1008"/>
        </w:numPr>
      </w:pPr>
      <w:r>
        <w:t xml:space="preserve">structure dictated history,</w:t>
      </w:r>
    </w:p>
    <w:p>
      <w:pPr>
        <w:pStyle w:val="Compact"/>
        <w:numPr>
          <w:ilvl w:val="0"/>
          <w:numId w:val="1008"/>
        </w:numPr>
      </w:pPr>
      <w:r>
        <w:t xml:space="preserve">map dictation to existing lesion/finding objects,</w:t>
      </w:r>
    </w:p>
    <w:p>
      <w:pPr>
        <w:pStyle w:val="Compact"/>
        <w:numPr>
          <w:ilvl w:val="0"/>
          <w:numId w:val="1008"/>
        </w:numPr>
      </w:pPr>
      <w:r>
        <w:t xml:space="preserve">rewrite findings into professional language,</w:t>
      </w:r>
    </w:p>
    <w:p>
      <w:pPr>
        <w:pStyle w:val="Compact"/>
        <w:numPr>
          <w:ilvl w:val="0"/>
          <w:numId w:val="1008"/>
        </w:numPr>
      </w:pPr>
      <w:r>
        <w:t xml:space="preserve">summarize longitudinal changes,</w:t>
      </w:r>
    </w:p>
    <w:p>
      <w:pPr>
        <w:pStyle w:val="Compact"/>
        <w:numPr>
          <w:ilvl w:val="0"/>
          <w:numId w:val="1008"/>
        </w:numPr>
      </w:pPr>
      <w:r>
        <w:t xml:space="preserve">draft the impression,</w:t>
      </w:r>
    </w:p>
    <w:p>
      <w:pPr>
        <w:pStyle w:val="Compact"/>
        <w:numPr>
          <w:ilvl w:val="0"/>
          <w:numId w:val="1008"/>
        </w:numPr>
      </w:pPr>
      <w:r>
        <w:t xml:space="preserve">identify language-level inconsistencies for physician review.</w:t>
      </w:r>
    </w:p>
    <w:bookmarkEnd w:id="28"/>
    <w:bookmarkStart w:id="29" w:name="Xa4feaab03c91235429c73839b62a920347e56fc"/>
    <w:p>
      <w:pPr>
        <w:pStyle w:val="Heading2"/>
      </w:pPr>
      <w:r>
        <w:t xml:space="preserve">2.7 Explainability for derived classifications</w:t>
      </w:r>
    </w:p>
    <w:p>
      <w:pPr>
        <w:pStyle w:val="FirstParagraph"/>
      </w:pPr>
      <w:r>
        <w:t xml:space="preserve">Every derived staging/response result should have a visible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action. Example:</w:t>
      </w:r>
    </w:p>
    <w:p>
      <w:pPr>
        <w:pStyle w:val="BodyText"/>
      </w:pPr>
      <w:r>
        <w:rPr>
          <w:rStyle w:val="VerbatimChar"/>
        </w:rPr>
        <w:t xml:space="preserve">miM1b -&gt; because validated PSMA-positive osseous lesion(s) are present.</w:t>
      </w:r>
    </w:p>
    <w:p>
      <w:pPr>
        <w:pStyle w:val="BodyText"/>
      </w:pPr>
      <w:r>
        <w:rPr>
          <w:rStyle w:val="VerbatimChar"/>
        </w:rPr>
        <w:t xml:space="preserve">RECIP candidate PR -&gt; TMTV decreased by X% and no new PSMA-positive lesions were confirmed.</w:t>
      </w:r>
    </w:p>
    <w:p>
      <w:pPr>
        <w:pStyle w:val="BodyText"/>
      </w:pPr>
      <w:r>
        <w:t xml:space="preserve">The physician must be able to verify the evidence without reverse-engineering the rule engine.</w:t>
      </w:r>
    </w:p>
    <w:bookmarkEnd w:id="29"/>
    <w:bookmarkEnd w:id="30"/>
    <w:bookmarkStart w:id="33" w:name="workstation-architecture"/>
    <w:p>
      <w:pPr>
        <w:pStyle w:val="Heading1"/>
      </w:pPr>
      <w:r>
        <w:t xml:space="preserve">3. Workstation architecture</w:t>
      </w:r>
    </w:p>
    <w:bookmarkStart w:id="31" w:name="monitor-geometry"/>
    <w:p>
      <w:pPr>
        <w:pStyle w:val="Heading2"/>
      </w:pPr>
      <w:r>
        <w:t xml:space="preserve">3.1 Monitor geometry</w:t>
      </w:r>
    </w:p>
    <w:p>
      <w:pPr>
        <w:pStyle w:val="FirstParagraph"/>
      </w:pPr>
      <w:r>
        <w:t xml:space="preserve">The workstation contains two portrait-oriented high-resolution diagnostic monitors and one landscape support monitor. The UI must be designed natively for this geometry rather than scaling a laptop layout.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PSMA PET/CT and focused lesion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Prior/current comparison, whole-body context, response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workflow, relevant findings, dictation, staging/response, report, key images</w:t>
            </w:r>
          </w:p>
        </w:tc>
      </w:tr>
    </w:tbl>
    <w:bookmarkEnd w:id="31"/>
    <w:bookmarkStart w:id="32" w:name="cross-monitor-coordination"/>
    <w:p>
      <w:pPr>
        <w:pStyle w:val="Heading2"/>
      </w:pPr>
      <w:r>
        <w:t xml:space="preserve">3.2 Cross-monitor coordination</w:t>
      </w:r>
    </w:p>
    <w:p>
      <w:pPr>
        <w:pStyle w:val="FirstParagraph"/>
      </w:pPr>
      <w:r>
        <w:t xml:space="preserve">The three windows should behave as one workstation session. Selecting a finding on M3 must immediately update M1 and M2. Changing the current slice/point on M1 should optionally synchronize M2. The session state must include:</w:t>
      </w:r>
    </w:p>
    <w:p>
      <w:pPr>
        <w:pStyle w:val="Compact"/>
        <w:numPr>
          <w:ilvl w:val="0"/>
          <w:numId w:val="1009"/>
        </w:numPr>
      </w:pPr>
      <w:r>
        <w:t xml:space="preserve">current patient/case,</w:t>
      </w:r>
    </w:p>
    <w:p>
      <w:pPr>
        <w:pStyle w:val="Compact"/>
        <w:numPr>
          <w:ilvl w:val="0"/>
          <w:numId w:val="1009"/>
        </w:numPr>
      </w:pPr>
      <w:r>
        <w:t xml:space="preserve">current examination,</w:t>
      </w:r>
    </w:p>
    <w:p>
      <w:pPr>
        <w:pStyle w:val="Compact"/>
        <w:numPr>
          <w:ilvl w:val="0"/>
          <w:numId w:val="1009"/>
        </w:numPr>
      </w:pPr>
      <w:r>
        <w:t xml:space="preserve">selected prior/reference examination,</w:t>
      </w:r>
    </w:p>
    <w:p>
      <w:pPr>
        <w:pStyle w:val="Compact"/>
        <w:numPr>
          <w:ilvl w:val="0"/>
          <w:numId w:val="1009"/>
        </w:numPr>
      </w:pPr>
      <w:r>
        <w:t xml:space="preserve">selected finding/lesion,</w:t>
      </w:r>
    </w:p>
    <w:p>
      <w:pPr>
        <w:pStyle w:val="Compact"/>
        <w:numPr>
          <w:ilvl w:val="0"/>
          <w:numId w:val="1009"/>
        </w:numPr>
      </w:pPr>
      <w:r>
        <w:t xml:space="preserve">selected viewer mode,</w:t>
      </w:r>
    </w:p>
    <w:p>
      <w:pPr>
        <w:pStyle w:val="Compact"/>
        <w:numPr>
          <w:ilvl w:val="0"/>
          <w:numId w:val="1009"/>
        </w:numPr>
      </w:pPr>
      <w:r>
        <w:t xml:space="preserve">current workflow phase,</w:t>
      </w:r>
    </w:p>
    <w:p>
      <w:pPr>
        <w:pStyle w:val="Compact"/>
        <w:numPr>
          <w:ilvl w:val="0"/>
          <w:numId w:val="1009"/>
        </w:numPr>
      </w:pPr>
      <w:r>
        <w:t xml:space="preserve">staging/response state,</w:t>
      </w:r>
    </w:p>
    <w:p>
      <w:pPr>
        <w:pStyle w:val="Compact"/>
        <w:numPr>
          <w:ilvl w:val="0"/>
          <w:numId w:val="1009"/>
        </w:numPr>
      </w:pPr>
      <w:r>
        <w:t xml:space="preserve">report draft version,</w:t>
      </w:r>
    </w:p>
    <w:p>
      <w:pPr>
        <w:pStyle w:val="Compact"/>
        <w:numPr>
          <w:ilvl w:val="0"/>
          <w:numId w:val="1009"/>
        </w:numPr>
      </w:pPr>
      <w:r>
        <w:t xml:space="preserve">key-image selection.</w:t>
      </w:r>
    </w:p>
    <w:p>
      <w:pPr>
        <w:pStyle w:val="FirstParagraph"/>
      </w:pPr>
      <w:r>
        <w:t xml:space="preserve">Cross-monitor communication should be event-driven rather than implemented as duplicated business logic.</w:t>
      </w:r>
    </w:p>
    <w:bookmarkEnd w:id="32"/>
    <w:bookmarkEnd w:id="33"/>
    <w:bookmarkStart w:id="39" w:name="monitor-1---current-examination"/>
    <w:p>
      <w:pPr>
        <w:pStyle w:val="Heading1"/>
      </w:pPr>
      <w:r>
        <w:t xml:space="preserve">4. Monitor 1 - Current Examination</w:t>
      </w:r>
    </w:p>
    <w:bookmarkStart w:id="34" w:name="purpose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M1 answers:</w:t>
      </w:r>
      <w:r>
        <w:t xml:space="preserve"> </w:t>
      </w:r>
      <w:r>
        <w:rPr>
          <w:b/>
          <w:bCs/>
        </w:rPr>
        <w:t xml:space="preserve">What is present in the current examination?</w:t>
      </w:r>
    </w:p>
    <w:p>
      <w:pPr>
        <w:pStyle w:val="BodyText"/>
      </w:pPr>
      <w:r>
        <w:t xml:space="preserve">It is the primary diagnostic image workspace.</w:t>
      </w:r>
    </w:p>
    <w:bookmarkEnd w:id="34"/>
    <w:bookmarkStart w:id="35" w:name="default-portrait-layout"/>
    <w:p>
      <w:pPr>
        <w:pStyle w:val="Heading2"/>
      </w:pPr>
      <w:r>
        <w:t xml:space="preserve">4.2 Default portrait layout</w:t>
      </w:r>
    </w:p>
    <w:p>
      <w:pPr>
        <w:pStyle w:val="FirstParagraph"/>
      </w:pPr>
      <w:r>
        <w:t xml:space="preserve">Recommended default:</w:t>
      </w:r>
    </w:p>
    <w:p>
      <w:pPr>
        <w:pStyle w:val="Compact"/>
        <w:numPr>
          <w:ilvl w:val="0"/>
          <w:numId w:val="1010"/>
        </w:numPr>
      </w:pPr>
      <w:r>
        <w:t xml:space="preserve">Upper 55-60%: large axial PET/CT fusion.</w:t>
      </w:r>
    </w:p>
    <w:p>
      <w:pPr>
        <w:pStyle w:val="Compact"/>
        <w:numPr>
          <w:ilvl w:val="0"/>
          <w:numId w:val="1010"/>
        </w:numPr>
      </w:pPr>
      <w:r>
        <w:t xml:space="preserve">Lower left: coronal fusion.</w:t>
      </w:r>
    </w:p>
    <w:p>
      <w:pPr>
        <w:pStyle w:val="Compact"/>
        <w:numPr>
          <w:ilvl w:val="0"/>
          <w:numId w:val="1010"/>
        </w:numPr>
      </w:pPr>
      <w:r>
        <w:t xml:space="preserve">Lower right: sagittal fusion.</w:t>
      </w:r>
    </w:p>
    <w:p>
      <w:pPr>
        <w:pStyle w:val="Compact"/>
        <w:numPr>
          <w:ilvl w:val="0"/>
          <w:numId w:val="1010"/>
        </w:numPr>
      </w:pPr>
      <w:r>
        <w:t xml:space="preserve">Bottom narrow strip: series/display presets.</w:t>
      </w:r>
    </w:p>
    <w:p>
      <w:pPr>
        <w:pStyle w:val="FirstParagraph"/>
      </w:pPr>
      <w:r>
        <w:t xml:space="preserve">The dominant image may be changed by double-clicking another plane.</w:t>
      </w:r>
    </w:p>
    <w:bookmarkEnd w:id="35"/>
    <w:bookmarkStart w:id="36" w:name="required-modes"/>
    <w:p>
      <w:pPr>
        <w:pStyle w:val="Heading2"/>
      </w:pPr>
      <w:r>
        <w:t xml:space="preserve">4.3 Required modes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11"/>
        </w:numPr>
      </w:pPr>
      <w:r>
        <w:t xml:space="preserve">Fusion.</w:t>
      </w:r>
    </w:p>
    <w:p>
      <w:pPr>
        <w:pStyle w:val="Compact"/>
        <w:numPr>
          <w:ilvl w:val="0"/>
          <w:numId w:val="1011"/>
        </w:numPr>
      </w:pPr>
      <w:r>
        <w:t xml:space="preserve">PET only.</w:t>
      </w:r>
    </w:p>
    <w:p>
      <w:pPr>
        <w:pStyle w:val="Compact"/>
        <w:numPr>
          <w:ilvl w:val="0"/>
          <w:numId w:val="1011"/>
        </w:numPr>
      </w:pPr>
      <w:r>
        <w:t xml:space="preserve">CT soft tissue.</w:t>
      </w:r>
    </w:p>
    <w:p>
      <w:pPr>
        <w:pStyle w:val="Compact"/>
        <w:numPr>
          <w:ilvl w:val="0"/>
          <w:numId w:val="1011"/>
        </w:numPr>
      </w:pPr>
      <w:r>
        <w:t xml:space="preserve">CT bone.</w:t>
      </w:r>
    </w:p>
    <w:p>
      <w:pPr>
        <w:pStyle w:val="Compact"/>
        <w:numPr>
          <w:ilvl w:val="0"/>
          <w:numId w:val="1011"/>
        </w:numPr>
      </w:pPr>
      <w:r>
        <w:t xml:space="preserve">MIP.</w:t>
      </w:r>
    </w:p>
    <w:p>
      <w:pPr>
        <w:pStyle w:val="Compact"/>
        <w:numPr>
          <w:ilvl w:val="0"/>
          <w:numId w:val="1011"/>
        </w:numPr>
      </w:pPr>
      <w:r>
        <w:t xml:space="preserve">Optional subtraction/difference view when technically valid.</w:t>
      </w:r>
    </w:p>
    <w:bookmarkEnd w:id="36"/>
    <w:bookmarkStart w:id="37" w:name="image-interaction"/>
    <w:p>
      <w:pPr>
        <w:pStyle w:val="Heading2"/>
      </w:pPr>
      <w:r>
        <w:t xml:space="preserve">4.4 Image interaction</w:t>
      </w:r>
    </w:p>
    <w:p>
      <w:pPr>
        <w:pStyle w:val="FirstParagraph"/>
      </w:pPr>
      <w:r>
        <w:t xml:space="preserve">Reuse the Scientific Mode interaction model wherever possible:</w:t>
      </w:r>
    </w:p>
    <w:p>
      <w:pPr>
        <w:pStyle w:val="Compact"/>
        <w:numPr>
          <w:ilvl w:val="0"/>
          <w:numId w:val="1012"/>
        </w:numPr>
      </w:pPr>
      <w:r>
        <w:t xml:space="preserve">Mouse wheel: next/previous slice.</w:t>
      </w:r>
    </w:p>
    <w:p>
      <w:pPr>
        <w:pStyle w:val="Compact"/>
        <w:numPr>
          <w:ilvl w:val="0"/>
          <w:numId w:val="1012"/>
        </w:numPr>
      </w:pPr>
      <w:r>
        <w:t xml:space="preserve">Ctrl + wheel: zoom.</w:t>
      </w:r>
    </w:p>
    <w:p>
      <w:pPr>
        <w:pStyle w:val="Compact"/>
        <w:numPr>
          <w:ilvl w:val="0"/>
          <w:numId w:val="1012"/>
        </w:numPr>
      </w:pPr>
      <w:r>
        <w:t xml:space="preserve">Shift + wheel: PET upper-window/SUV scale or configured secondary window function.</w:t>
      </w:r>
    </w:p>
    <w:p>
      <w:pPr>
        <w:pStyle w:val="Compact"/>
        <w:numPr>
          <w:ilvl w:val="0"/>
          <w:numId w:val="1012"/>
        </w:numPr>
      </w:pPr>
      <w:r>
        <w:t xml:space="preserve">Right click: synchronize that anatomical point across views.</w:t>
      </w:r>
    </w:p>
    <w:p>
      <w:pPr>
        <w:pStyle w:val="Compact"/>
        <w:numPr>
          <w:ilvl w:val="0"/>
          <w:numId w:val="1012"/>
        </w:numPr>
      </w:pPr>
      <w:r>
        <w:t xml:space="preserve">Right drag: pan.</w:t>
      </w:r>
    </w:p>
    <w:p>
      <w:pPr>
        <w:pStyle w:val="Compact"/>
        <w:numPr>
          <w:ilvl w:val="0"/>
          <w:numId w:val="1012"/>
        </w:numPr>
      </w:pPr>
      <w:r>
        <w:t xml:space="preserve">Double left click: make the clicked plane dominant / recenter orthogonal views.</w:t>
      </w:r>
    </w:p>
    <w:p>
      <w:pPr>
        <w:pStyle w:val="Compact"/>
        <w:numPr>
          <w:ilvl w:val="0"/>
          <w:numId w:val="1012"/>
        </w:numPr>
      </w:pPr>
      <w:r>
        <w:t xml:space="preserve">Hold Q: temporarily hide lesion mask/contour.</w:t>
      </w:r>
    </w:p>
    <w:p>
      <w:pPr>
        <w:pStyle w:val="Compact"/>
        <w:numPr>
          <w:ilvl w:val="0"/>
          <w:numId w:val="1012"/>
        </w:numPr>
      </w:pPr>
      <w:r>
        <w:t xml:space="preserve">C: center selected finding.</w:t>
      </w:r>
    </w:p>
    <w:p>
      <w:pPr>
        <w:pStyle w:val="Compact"/>
        <w:numPr>
          <w:ilvl w:val="0"/>
          <w:numId w:val="1012"/>
        </w:numPr>
      </w:pPr>
      <w:r>
        <w:t xml:space="preserve">F1-F4: configured display presets.</w:t>
      </w:r>
    </w:p>
    <w:bookmarkEnd w:id="37"/>
    <w:bookmarkStart w:id="38" w:name="overlays"/>
    <w:p>
      <w:pPr>
        <w:pStyle w:val="Heading2"/>
      </w:pPr>
      <w:r>
        <w:t xml:space="preserve">4.5 Overlays</w:t>
      </w:r>
    </w:p>
    <w:p>
      <w:pPr>
        <w:pStyle w:val="FirstParagraph"/>
      </w:pPr>
      <w:r>
        <w:t xml:space="preserve">Keep overlays minimal:</w:t>
      </w:r>
    </w:p>
    <w:p>
      <w:pPr>
        <w:pStyle w:val="Compact"/>
        <w:numPr>
          <w:ilvl w:val="0"/>
          <w:numId w:val="1013"/>
        </w:numPr>
      </w:pPr>
      <w:r>
        <w:t xml:space="preserve">current examination date,</w:t>
      </w:r>
    </w:p>
    <w:p>
      <w:pPr>
        <w:pStyle w:val="Compact"/>
        <w:numPr>
          <w:ilvl w:val="0"/>
          <w:numId w:val="1013"/>
        </w:numPr>
      </w:pPr>
      <w:r>
        <w:t xml:space="preserve">tracer,</w:t>
      </w:r>
    </w:p>
    <w:p>
      <w:pPr>
        <w:pStyle w:val="Compact"/>
        <w:numPr>
          <w:ilvl w:val="0"/>
          <w:numId w:val="1013"/>
        </w:numPr>
      </w:pPr>
      <w:r>
        <w:t xml:space="preserve">plane and slice index,</w:t>
      </w:r>
    </w:p>
    <w:p>
      <w:pPr>
        <w:pStyle w:val="Compact"/>
        <w:numPr>
          <w:ilvl w:val="0"/>
          <w:numId w:val="1013"/>
        </w:numPr>
      </w:pPr>
      <w:r>
        <w:t xml:space="preserve">HU/SUV under cursor,</w:t>
      </w:r>
    </w:p>
    <w:p>
      <w:pPr>
        <w:pStyle w:val="Compact"/>
        <w:numPr>
          <w:ilvl w:val="0"/>
          <w:numId w:val="1013"/>
        </w:numPr>
      </w:pPr>
      <w:r>
        <w:t xml:space="preserve">PET scale,</w:t>
      </w:r>
    </w:p>
    <w:p>
      <w:pPr>
        <w:pStyle w:val="Compact"/>
        <w:numPr>
          <w:ilvl w:val="0"/>
          <w:numId w:val="1013"/>
        </w:numPr>
      </w:pPr>
      <w:r>
        <w:t xml:space="preserve">scale bar,</w:t>
      </w:r>
    </w:p>
    <w:p>
      <w:pPr>
        <w:pStyle w:val="Compact"/>
        <w:numPr>
          <w:ilvl w:val="0"/>
          <w:numId w:val="1013"/>
        </w:numPr>
      </w:pPr>
      <w:r>
        <w:t xml:space="preserve">selected finding ID and brief label,</w:t>
      </w:r>
    </w:p>
    <w:p>
      <w:pPr>
        <w:pStyle w:val="Compact"/>
        <w:numPr>
          <w:ilvl w:val="0"/>
          <w:numId w:val="1013"/>
        </w:numPr>
      </w:pPr>
      <w:r>
        <w:t xml:space="preserve">segmentation contour when enabled.</w:t>
      </w:r>
    </w:p>
    <w:p>
      <w:pPr>
        <w:pStyle w:val="FirstParagraph"/>
      </w:pPr>
      <w:r>
        <w:t xml:space="preserve">Do not display long clinical text, report prose, staging tables, or lesion queues on M1.</w:t>
      </w:r>
    </w:p>
    <w:bookmarkEnd w:id="38"/>
    <w:bookmarkEnd w:id="39"/>
    <w:bookmarkStart w:id="46" w:name="X6f52932f49e20519097c439713d87fdbea78814"/>
    <w:p>
      <w:pPr>
        <w:pStyle w:val="Heading1"/>
      </w:pPr>
      <w:r>
        <w:t xml:space="preserve">5. Monitor 2 - Context / Prior / Longitudinal Comparison</w:t>
      </w:r>
    </w:p>
    <w:bookmarkStart w:id="40" w:name="purpose-1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M2 answers:</w:t>
      </w:r>
      <w:r>
        <w:t xml:space="preserve"> </w:t>
      </w:r>
      <w:r>
        <w:rPr>
          <w:b/>
          <w:bCs/>
        </w:rPr>
        <w:t xml:space="preserve">How does the current finding relate to prior imaging and to whole-body disease distribution?</w:t>
      </w:r>
    </w:p>
    <w:p>
      <w:pPr>
        <w:pStyle w:val="BodyText"/>
      </w:pPr>
      <w:r>
        <w:t xml:space="preserve">The content is dynamic by case type.</w:t>
      </w:r>
    </w:p>
    <w:bookmarkEnd w:id="40"/>
    <w:bookmarkStart w:id="41" w:name="mode-a---prior-comparison"/>
    <w:p>
      <w:pPr>
        <w:pStyle w:val="Heading2"/>
      </w:pPr>
      <w:r>
        <w:t xml:space="preserve">5.2 Mode A - Prior comparison</w:t>
      </w:r>
    </w:p>
    <w:p>
      <w:pPr>
        <w:pStyle w:val="FirstParagraph"/>
      </w:pPr>
      <w:r>
        <w:t xml:space="preserve">Default when a relevant prior examination exists.</w:t>
      </w:r>
    </w:p>
    <w:p>
      <w:pPr>
        <w:pStyle w:val="BodyText"/>
      </w:pPr>
      <w:r>
        <w:t xml:space="preserve">Portrait layout:</w:t>
      </w:r>
    </w:p>
    <w:p>
      <w:pPr>
        <w:pStyle w:val="Compact"/>
        <w:numPr>
          <w:ilvl w:val="0"/>
          <w:numId w:val="1014"/>
        </w:numPr>
      </w:pPr>
      <w:r>
        <w:t xml:space="preserve">Upper area: current vs prior synchronized lesion-centered views.</w:t>
      </w:r>
    </w:p>
    <w:p>
      <w:pPr>
        <w:pStyle w:val="Compact"/>
        <w:numPr>
          <w:ilvl w:val="0"/>
          <w:numId w:val="1014"/>
        </w:numPr>
      </w:pPr>
      <w:r>
        <w:t xml:space="preserve">Middle area: orthogonal current/prior comparison or whole-body context.</w:t>
      </w:r>
    </w:p>
    <w:p>
      <w:pPr>
        <w:pStyle w:val="Compact"/>
        <w:numPr>
          <w:ilvl w:val="0"/>
          <w:numId w:val="1014"/>
        </w:numPr>
      </w:pPr>
      <w:r>
        <w:t xml:space="preserve">Lower area: current/prior MIP or a compact timepoint selector.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same orientation,</w:t>
      </w:r>
    </w:p>
    <w:p>
      <w:pPr>
        <w:pStyle w:val="Compact"/>
        <w:numPr>
          <w:ilvl w:val="0"/>
          <w:numId w:val="1015"/>
        </w:numPr>
      </w:pPr>
      <w:r>
        <w:t xml:space="preserve">same physical FOV where possible,</w:t>
      </w:r>
    </w:p>
    <w:p>
      <w:pPr>
        <w:pStyle w:val="Compact"/>
        <w:numPr>
          <w:ilvl w:val="0"/>
          <w:numId w:val="1015"/>
        </w:numPr>
      </w:pPr>
      <w:r>
        <w:t xml:space="preserve">synchronized crosshair,</w:t>
      </w:r>
    </w:p>
    <w:p>
      <w:pPr>
        <w:pStyle w:val="Compact"/>
        <w:numPr>
          <w:ilvl w:val="0"/>
          <w:numId w:val="1015"/>
        </w:numPr>
      </w:pPr>
      <w:r>
        <w:t xml:space="preserve">synchronized PET scale option,</w:t>
      </w:r>
    </w:p>
    <w:p>
      <w:pPr>
        <w:pStyle w:val="Compact"/>
        <w:numPr>
          <w:ilvl w:val="0"/>
          <w:numId w:val="1015"/>
        </w:numPr>
      </w:pPr>
      <w:r>
        <w:t xml:space="preserve">prior/baseline reference selector,</w:t>
      </w:r>
    </w:p>
    <w:p>
      <w:pPr>
        <w:pStyle w:val="Compact"/>
        <w:numPr>
          <w:ilvl w:val="0"/>
          <w:numId w:val="1015"/>
        </w:numPr>
      </w:pPr>
      <w:r>
        <w:t xml:space="preserve">side-by-side,</w:t>
      </w:r>
    </w:p>
    <w:p>
      <w:pPr>
        <w:pStyle w:val="Compact"/>
        <w:numPr>
          <w:ilvl w:val="0"/>
          <w:numId w:val="1015"/>
        </w:numPr>
      </w:pPr>
      <w:r>
        <w:t xml:space="preserve">overlay,</w:t>
      </w:r>
    </w:p>
    <w:p>
      <w:pPr>
        <w:pStyle w:val="Compact"/>
        <w:numPr>
          <w:ilvl w:val="0"/>
          <w:numId w:val="1015"/>
        </w:numPr>
      </w:pPr>
      <w:r>
        <w:t xml:space="preserve">flicker.</w:t>
      </w:r>
    </w:p>
    <w:bookmarkEnd w:id="41"/>
    <w:bookmarkStart w:id="42" w:name="mode-b---initial-staging-without-prior"/>
    <w:p>
      <w:pPr>
        <w:pStyle w:val="Heading2"/>
      </w:pPr>
      <w:r>
        <w:t xml:space="preserve">5.3 Mode B - Initial staging without prior</w:t>
      </w:r>
    </w:p>
    <w:p>
      <w:pPr>
        <w:pStyle w:val="FirstParagraph"/>
      </w:pPr>
      <w:r>
        <w:t xml:space="preserve">When no useful prior exists, M2 should not show empty comparison panes. It becomes a whole-body staging monitor:</w:t>
      </w:r>
    </w:p>
    <w:p>
      <w:pPr>
        <w:pStyle w:val="Compact"/>
        <w:numPr>
          <w:ilvl w:val="0"/>
          <w:numId w:val="1016"/>
        </w:numPr>
      </w:pPr>
      <w:r>
        <w:t xml:space="preserve">large PET MIP,</w:t>
      </w:r>
    </w:p>
    <w:p>
      <w:pPr>
        <w:pStyle w:val="Compact"/>
        <w:numPr>
          <w:ilvl w:val="0"/>
          <w:numId w:val="1016"/>
        </w:numPr>
      </w:pPr>
      <w:r>
        <w:t xml:space="preserve">whole-body coronal fusion,</w:t>
      </w:r>
    </w:p>
    <w:p>
      <w:pPr>
        <w:pStyle w:val="Compact"/>
        <w:numPr>
          <w:ilvl w:val="0"/>
          <w:numId w:val="1016"/>
        </w:numPr>
      </w:pPr>
      <w:r>
        <w:t xml:space="preserve">optional skeleton/anatomy view,</w:t>
      </w:r>
    </w:p>
    <w:p>
      <w:pPr>
        <w:pStyle w:val="Compact"/>
        <w:numPr>
          <w:ilvl w:val="0"/>
          <w:numId w:val="1016"/>
        </w:numPr>
      </w:pPr>
      <w:r>
        <w:t xml:space="preserve">disease-compartment overview.</w:t>
      </w:r>
    </w:p>
    <w:bookmarkEnd w:id="42"/>
    <w:bookmarkStart w:id="43" w:name="mode-c---post-rlt-response"/>
    <w:p>
      <w:pPr>
        <w:pStyle w:val="Heading2"/>
      </w:pPr>
      <w:r>
        <w:t xml:space="preserve">5.4 Mode C - Post-RLT / response</w:t>
      </w:r>
    </w:p>
    <w:p>
      <w:pPr>
        <w:pStyle w:val="FirstParagraph"/>
      </w:pPr>
      <w:r>
        <w:t xml:space="preserve">Default reference should be configurable: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Current vs pre-RLT baseline</w:t>
      </w:r>
      <w:r>
        <w:t xml:space="preserve"> </w:t>
      </w:r>
      <w:r>
        <w:t xml:space="preserve">as the primary therapy-response comparison.</w:t>
      </w:r>
    </w:p>
    <w:p>
      <w:pPr>
        <w:pStyle w:val="Compact"/>
        <w:numPr>
          <w:ilvl w:val="0"/>
          <w:numId w:val="1017"/>
        </w:numPr>
      </w:pPr>
      <w:r>
        <w:t xml:space="preserve">One action toggles to</w:t>
      </w:r>
      <w:r>
        <w:t xml:space="preserve"> </w:t>
      </w:r>
      <w:r>
        <w:rPr>
          <w:b/>
          <w:bCs/>
        </w:rPr>
        <w:t xml:space="preserve">Current vs previous cycle/examination</w:t>
      </w:r>
      <w:r>
        <w:t xml:space="preserve">.</w:t>
      </w:r>
    </w:p>
    <w:p>
      <w:pPr>
        <w:pStyle w:val="FirstParagraph"/>
      </w:pPr>
      <w:r>
        <w:t xml:space="preserve">This distinction is mandatory because clinical questions differ: total response from baseline versus short-interval change from the previous cycle.</w:t>
      </w:r>
    </w:p>
    <w:bookmarkEnd w:id="43"/>
    <w:bookmarkStart w:id="44" w:name="mode-d---focused-lesion-comparison"/>
    <w:p>
      <w:pPr>
        <w:pStyle w:val="Heading2"/>
      </w:pPr>
      <w:r>
        <w:t xml:space="preserve">5.5 Mode D - Focused lesion comparison</w:t>
      </w:r>
    </w:p>
    <w:p>
      <w:pPr>
        <w:pStyle w:val="FirstParagraph"/>
      </w:pPr>
      <w:r>
        <w:t xml:space="preserve">Selecting a clinically important finding on M3 should create a focused current/prior comparison on M2, centered on the same lesion track.</w:t>
      </w:r>
    </w:p>
    <w:bookmarkEnd w:id="44"/>
    <w:bookmarkStart w:id="45" w:name="registration-failure"/>
    <w:p>
      <w:pPr>
        <w:pStyle w:val="Heading2"/>
      </w:pPr>
      <w:r>
        <w:t xml:space="preserve">5.6 Registration failure</w:t>
      </w:r>
    </w:p>
    <w:p>
      <w:pPr>
        <w:pStyle w:val="FirstParagraph"/>
      </w:pPr>
      <w:r>
        <w:t xml:space="preserve">If registration is questionable, M2 exposes the registration-review tools already defined for Scientific Mode. Clinical reporting must never present a numerical or visual comparison as reliable without recording registration quality.</w:t>
      </w:r>
    </w:p>
    <w:bookmarkEnd w:id="45"/>
    <w:bookmarkEnd w:id="46"/>
    <w:bookmarkStart w:id="49" w:name="monitor-3---clinical-workflow-console"/>
    <w:p>
      <w:pPr>
        <w:pStyle w:val="Heading1"/>
      </w:pPr>
      <w:r>
        <w:t xml:space="preserve">6. Monitor 3 - Clinical Workflow Console</w:t>
      </w:r>
    </w:p>
    <w:bookmarkStart w:id="47" w:name="primary-concept"/>
    <w:p>
      <w:pPr>
        <w:pStyle w:val="Heading2"/>
      </w:pPr>
      <w:r>
        <w:t xml:space="preserve">6.1 Primary concept</w:t>
      </w:r>
    </w:p>
    <w:p>
      <w:pPr>
        <w:pStyle w:val="FirstParagraph"/>
      </w:pPr>
      <w:r>
        <w:t xml:space="preserve">M3 should have three major user-facing phases rather than a permanently expanded multi-tab form: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- clinical context, prior report, relevant findings.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ASSESS</w:t>
      </w:r>
      <w:r>
        <w:t xml:space="preserve"> </w:t>
      </w:r>
      <w:r>
        <w:t xml:space="preserve">- staging/response and quantitative synthesis.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- semi-structured report, validation, key images, sign-off.</w:t>
      </w:r>
    </w:p>
    <w:p>
      <w:pPr>
        <w:pStyle w:val="FirstParagraph"/>
      </w:pPr>
      <w:r>
        <w:t xml:space="preserve">Internal subpanels may still correspond to History, Prior, Findings, Staging/Response, and Report, but the UI should feel like a guided clinical workflow rather than form-filling software.</w:t>
      </w:r>
    </w:p>
    <w:bookmarkEnd w:id="47"/>
    <w:bookmarkStart w:id="48" w:name="persistent-header"/>
    <w:p>
      <w:pPr>
        <w:pStyle w:val="Heading2"/>
      </w:pPr>
      <w:r>
        <w:t xml:space="preserve">6.2 Persistent header</w:t>
      </w:r>
    </w:p>
    <w:p>
      <w:pPr>
        <w:pStyle w:val="FirstParagraph"/>
      </w:pPr>
      <w:r>
        <w:t xml:space="preserve">Always show:</w:t>
      </w:r>
    </w:p>
    <w:p>
      <w:pPr>
        <w:pStyle w:val="Compact"/>
        <w:numPr>
          <w:ilvl w:val="0"/>
          <w:numId w:val="1019"/>
        </w:numPr>
      </w:pPr>
      <w:r>
        <w:t xml:space="preserve">patient identifier appropriate to the deployment,</w:t>
      </w:r>
    </w:p>
    <w:p>
      <w:pPr>
        <w:pStyle w:val="Compact"/>
        <w:numPr>
          <w:ilvl w:val="0"/>
          <w:numId w:val="1019"/>
        </w:numPr>
      </w:pPr>
      <w:r>
        <w:t xml:space="preserve">current examination date,</w:t>
      </w:r>
    </w:p>
    <w:p>
      <w:pPr>
        <w:pStyle w:val="Compact"/>
        <w:numPr>
          <w:ilvl w:val="0"/>
          <w:numId w:val="1019"/>
        </w:numPr>
      </w:pPr>
      <w:r>
        <w:t xml:space="preserve">tracer,</w:t>
      </w:r>
    </w:p>
    <w:p>
      <w:pPr>
        <w:pStyle w:val="Compact"/>
        <w:numPr>
          <w:ilvl w:val="0"/>
          <w:numId w:val="1019"/>
        </w:numPr>
      </w:pPr>
      <w:r>
        <w:t xml:space="preserve">selected case type/workflow profile,</w:t>
      </w:r>
    </w:p>
    <w:p>
      <w:pPr>
        <w:pStyle w:val="Compact"/>
        <w:numPr>
          <w:ilvl w:val="0"/>
          <w:numId w:val="1019"/>
        </w:numPr>
      </w:pPr>
      <w:r>
        <w:t xml:space="preserve">prior/reference examination,</w:t>
      </w:r>
    </w:p>
    <w:p>
      <w:pPr>
        <w:pStyle w:val="Compact"/>
        <w:numPr>
          <w:ilvl w:val="0"/>
          <w:numId w:val="1019"/>
        </w:numPr>
      </w:pPr>
      <w:r>
        <w:t xml:space="preserve">PSA when available and relevant,</w:t>
      </w:r>
    </w:p>
    <w:p>
      <w:pPr>
        <w:pStyle w:val="Compact"/>
        <w:numPr>
          <w:ilvl w:val="0"/>
          <w:numId w:val="1019"/>
        </w:numPr>
      </w:pPr>
      <w:r>
        <w:t xml:space="preserve">workflow completion indicators.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P014 | 68Ga-PSMA-11 | 13.09.2026 | BCR | Prior 07.04.2026 | PSA 3.8</w:t>
      </w:r>
    </w:p>
    <w:bookmarkEnd w:id="48"/>
    <w:bookmarkEnd w:id="49"/>
    <w:bookmarkStart w:id="52" w:name="Xea826588f680bc8f7b5d3bb2878276ecdec0a58"/>
    <w:p>
      <w:pPr>
        <w:pStyle w:val="Heading1"/>
      </w:pPr>
      <w:r>
        <w:t xml:space="preserve">7. Case-type selection and workflow profiles</w:t>
      </w:r>
    </w:p>
    <w:bookmarkStart w:id="50" w:name="workflow-selector"/>
    <w:p>
      <w:pPr>
        <w:pStyle w:val="Heading2"/>
      </w:pPr>
      <w:r>
        <w:t xml:space="preserve">7.1 Workflow selector</w:t>
      </w:r>
    </w:p>
    <w:p>
      <w:pPr>
        <w:pStyle w:val="FirstParagraph"/>
      </w:pPr>
      <w:r>
        <w:t xml:space="preserve">At case start, determine or ask for a profile:</w:t>
      </w:r>
    </w:p>
    <w:p>
      <w:pPr>
        <w:pStyle w:val="Compact"/>
        <w:numPr>
          <w:ilvl w:val="0"/>
          <w:numId w:val="1020"/>
        </w:numPr>
      </w:pPr>
      <w:r>
        <w:t xml:space="preserve">Initial staging.</w:t>
      </w:r>
    </w:p>
    <w:p>
      <w:pPr>
        <w:pStyle w:val="Compact"/>
        <w:numPr>
          <w:ilvl w:val="0"/>
          <w:numId w:val="1020"/>
        </w:numPr>
      </w:pPr>
      <w:r>
        <w:t xml:space="preserve">Biochemical recurrence/restaging.</w:t>
      </w:r>
    </w:p>
    <w:p>
      <w:pPr>
        <w:pStyle w:val="Compact"/>
        <w:numPr>
          <w:ilvl w:val="0"/>
          <w:numId w:val="1020"/>
        </w:numPr>
      </w:pPr>
      <w:r>
        <w:t xml:space="preserve">Interim/response staging.</w:t>
      </w:r>
    </w:p>
    <w:p>
      <w:pPr>
        <w:pStyle w:val="Compact"/>
        <w:numPr>
          <w:ilvl w:val="0"/>
          <w:numId w:val="1020"/>
        </w:numPr>
      </w:pPr>
      <w:r>
        <w:t xml:space="preserve">Pre-RLT baseline.</w:t>
      </w:r>
    </w:p>
    <w:p>
      <w:pPr>
        <w:pStyle w:val="Compact"/>
        <w:numPr>
          <w:ilvl w:val="0"/>
          <w:numId w:val="1020"/>
        </w:numPr>
      </w:pPr>
      <w:r>
        <w:t xml:space="preserve">Post-RLT follow-up.</w:t>
      </w:r>
    </w:p>
    <w:p>
      <w:pPr>
        <w:pStyle w:val="Compact"/>
        <w:numPr>
          <w:ilvl w:val="0"/>
          <w:numId w:val="1020"/>
        </w:numPr>
      </w:pPr>
      <w:r>
        <w:t xml:space="preserve">General restaging/follow-up.</w:t>
      </w:r>
    </w:p>
    <w:p>
      <w:pPr>
        <w:pStyle w:val="FirstParagraph"/>
      </w:pPr>
      <w:r>
        <w:t xml:space="preserve">The profile can be preselected from order/indication text but should be physician-confirmable.</w:t>
      </w:r>
    </w:p>
    <w:bookmarkEnd w:id="50"/>
    <w:bookmarkStart w:id="51" w:name="why-case-profiles-matter"/>
    <w:p>
      <w:pPr>
        <w:pStyle w:val="Heading2"/>
      </w:pPr>
      <w:r>
        <w:t xml:space="preserve">7.2 Why case profiles matter</w:t>
      </w:r>
    </w:p>
    <w:p>
      <w:pPr>
        <w:pStyle w:val="FirstParagraph"/>
      </w:pPr>
      <w:r>
        <w:t xml:space="preserve">A single static dashboard would overload the user. Profiles control:</w:t>
      </w:r>
    </w:p>
    <w:p>
      <w:pPr>
        <w:pStyle w:val="Compact"/>
        <w:numPr>
          <w:ilvl w:val="0"/>
          <w:numId w:val="1021"/>
        </w:numPr>
      </w:pPr>
      <w:r>
        <w:t xml:space="preserve">which clinical fields are requested,</w:t>
      </w:r>
    </w:p>
    <w:p>
      <w:pPr>
        <w:pStyle w:val="Compact"/>
        <w:numPr>
          <w:ilvl w:val="0"/>
          <w:numId w:val="1021"/>
        </w:numPr>
      </w:pPr>
      <w:r>
        <w:t xml:space="preserve">what M2 displays,</w:t>
      </w:r>
    </w:p>
    <w:p>
      <w:pPr>
        <w:pStyle w:val="Compact"/>
        <w:numPr>
          <w:ilvl w:val="0"/>
          <w:numId w:val="1021"/>
        </w:numPr>
      </w:pPr>
      <w:r>
        <w:t xml:space="preserve">which lesion/finding priorities are used,</w:t>
      </w:r>
    </w:p>
    <w:p>
      <w:pPr>
        <w:pStyle w:val="Compact"/>
        <w:numPr>
          <w:ilvl w:val="0"/>
          <w:numId w:val="1021"/>
        </w:numPr>
      </w:pPr>
      <w:r>
        <w:t xml:space="preserve">which rule engines are active,</w:t>
      </w:r>
    </w:p>
    <w:p>
      <w:pPr>
        <w:pStyle w:val="Compact"/>
        <w:numPr>
          <w:ilvl w:val="0"/>
          <w:numId w:val="1021"/>
        </w:numPr>
      </w:pPr>
      <w:r>
        <w:t xml:space="preserve">which report sections are generated,</w:t>
      </w:r>
    </w:p>
    <w:p>
      <w:pPr>
        <w:pStyle w:val="Compact"/>
        <w:numPr>
          <w:ilvl w:val="0"/>
          <w:numId w:val="1021"/>
        </w:numPr>
      </w:pPr>
      <w:r>
        <w:t xml:space="preserve">what quantitative summary is shown.</w:t>
      </w:r>
    </w:p>
    <w:bookmarkEnd w:id="51"/>
    <w:bookmarkEnd w:id="52"/>
    <w:bookmarkStart w:id="56" w:name="read-phase---history-and-indication"/>
    <w:p>
      <w:pPr>
        <w:pStyle w:val="Heading1"/>
      </w:pPr>
      <w:r>
        <w:t xml:space="preserve">8. READ phase - History and indication</w:t>
      </w:r>
    </w:p>
    <w:bookmarkStart w:id="53" w:name="dictation-first-history-capture"/>
    <w:p>
      <w:pPr>
        <w:pStyle w:val="Heading2"/>
      </w:pPr>
      <w:r>
        <w:t xml:space="preserve">8.1 Dictation-first history capture</w:t>
      </w:r>
    </w:p>
    <w:p>
      <w:pPr>
        <w:pStyle w:val="FirstParagraph"/>
      </w:pPr>
      <w:r>
        <w:t xml:space="preserve">Primary interaction should be a large</w:t>
      </w:r>
      <w:r>
        <w:t xml:space="preserve"> </w:t>
      </w:r>
      <w:r>
        <w:rPr>
          <w:b/>
          <w:bCs/>
        </w:rPr>
        <w:t xml:space="preserve">Dictate History</w:t>
      </w:r>
      <w:r>
        <w:t xml:space="preserve"> </w:t>
      </w:r>
      <w:r>
        <w:t xml:space="preserve">control. The physician may dictate natural language such as:</w:t>
      </w:r>
    </w:p>
    <w:p>
      <w:pPr>
        <w:pStyle w:val="BodyText"/>
      </w:pPr>
      <w:r>
        <w:rPr>
          <w:rStyle w:val="VerbatimChar"/>
        </w:rPr>
        <w:t xml:space="preserve">Prostate carcinoma after radical prostatectomy in 2023, Gleason 4+4, ISUP 4, initial pT3a pN0, biochemical recurrence with PSA 3.8 ng/mL and PSADT about six months, no current ADT.</w:t>
      </w:r>
    </w:p>
    <w:p>
      <w:pPr>
        <w:pStyle w:val="BodyText"/>
      </w:pPr>
      <w:r>
        <w:t xml:space="preserve">The speech/LLM pipeline should produce both:</w:t>
      </w:r>
    </w:p>
    <w:p>
      <w:pPr>
        <w:pStyle w:val="Compact"/>
        <w:numPr>
          <w:ilvl w:val="0"/>
          <w:numId w:val="1022"/>
        </w:numPr>
      </w:pPr>
      <w:r>
        <w:t xml:space="preserve">verbatim/raw dictation text, and</w:t>
      </w:r>
    </w:p>
    <w:p>
      <w:pPr>
        <w:pStyle w:val="Compact"/>
        <w:numPr>
          <w:ilvl w:val="0"/>
          <w:numId w:val="1022"/>
        </w:numPr>
      </w:pPr>
      <w:r>
        <w:t xml:space="preserve">structured candidate fields.</w:t>
      </w:r>
    </w:p>
    <w:bookmarkEnd w:id="53"/>
    <w:bookmarkStart w:id="54" w:name="structured-history-fields"/>
    <w:p>
      <w:pPr>
        <w:pStyle w:val="Heading2"/>
      </w:pPr>
      <w:r>
        <w:t xml:space="preserve">8.2 Structured history fields</w:t>
      </w:r>
    </w:p>
    <w:p>
      <w:pPr>
        <w:pStyle w:val="FirstParagraph"/>
      </w:pPr>
      <w:r>
        <w:t xml:space="preserve">At minimum support:</w:t>
      </w:r>
    </w:p>
    <w:p>
      <w:pPr>
        <w:pStyle w:val="Compact"/>
        <w:numPr>
          <w:ilvl w:val="0"/>
          <w:numId w:val="1023"/>
        </w:numPr>
      </w:pPr>
      <w:r>
        <w:t xml:space="preserve">indication/case type,</w:t>
      </w:r>
    </w:p>
    <w:p>
      <w:pPr>
        <w:pStyle w:val="Compact"/>
        <w:numPr>
          <w:ilvl w:val="0"/>
          <w:numId w:val="1023"/>
        </w:numPr>
      </w:pPr>
      <w:r>
        <w:t xml:space="preserve">PSA,</w:t>
      </w:r>
    </w:p>
    <w:p>
      <w:pPr>
        <w:pStyle w:val="Compact"/>
        <w:numPr>
          <w:ilvl w:val="0"/>
          <w:numId w:val="1023"/>
        </w:numPr>
      </w:pPr>
      <w:r>
        <w:t xml:space="preserve">PSA kinetics/PSADT when available,</w:t>
      </w:r>
    </w:p>
    <w:p>
      <w:pPr>
        <w:pStyle w:val="Compact"/>
        <w:numPr>
          <w:ilvl w:val="0"/>
          <w:numId w:val="1023"/>
        </w:numPr>
      </w:pPr>
      <w:r>
        <w:t xml:space="preserve">Gleason score,</w:t>
      </w:r>
    </w:p>
    <w:p>
      <w:pPr>
        <w:pStyle w:val="Compact"/>
        <w:numPr>
          <w:ilvl w:val="0"/>
          <w:numId w:val="1023"/>
        </w:numPr>
      </w:pPr>
      <w:r>
        <w:t xml:space="preserve">ISUP grade,</w:t>
      </w:r>
    </w:p>
    <w:p>
      <w:pPr>
        <w:pStyle w:val="Compact"/>
        <w:numPr>
          <w:ilvl w:val="0"/>
          <w:numId w:val="1023"/>
        </w:numPr>
      </w:pPr>
      <w:r>
        <w:t xml:space="preserve">initial TNM,</w:t>
      </w:r>
    </w:p>
    <w:p>
      <w:pPr>
        <w:pStyle w:val="Compact"/>
        <w:numPr>
          <w:ilvl w:val="0"/>
          <w:numId w:val="1023"/>
        </w:numPr>
      </w:pPr>
      <w:r>
        <w:t xml:space="preserve">current/previous therapies,</w:t>
      </w:r>
    </w:p>
    <w:p>
      <w:pPr>
        <w:pStyle w:val="Compact"/>
        <w:numPr>
          <w:ilvl w:val="0"/>
          <w:numId w:val="1023"/>
        </w:numPr>
      </w:pPr>
      <w:r>
        <w:t xml:space="preserve">prostatectomy,</w:t>
      </w:r>
    </w:p>
    <w:p>
      <w:pPr>
        <w:pStyle w:val="Compact"/>
        <w:numPr>
          <w:ilvl w:val="0"/>
          <w:numId w:val="1023"/>
        </w:numPr>
      </w:pPr>
      <w:r>
        <w:t xml:space="preserve">radiotherapy,</w:t>
      </w:r>
    </w:p>
    <w:p>
      <w:pPr>
        <w:pStyle w:val="Compact"/>
        <w:numPr>
          <w:ilvl w:val="0"/>
          <w:numId w:val="1023"/>
        </w:numPr>
      </w:pPr>
      <w:r>
        <w:t xml:space="preserve">ADT,</w:t>
      </w:r>
    </w:p>
    <w:p>
      <w:pPr>
        <w:pStyle w:val="Compact"/>
        <w:numPr>
          <w:ilvl w:val="0"/>
          <w:numId w:val="1023"/>
        </w:numPr>
      </w:pPr>
      <w:r>
        <w:t xml:space="preserve">AR pathway inhibitor,</w:t>
      </w:r>
    </w:p>
    <w:p>
      <w:pPr>
        <w:pStyle w:val="Compact"/>
        <w:numPr>
          <w:ilvl w:val="0"/>
          <w:numId w:val="1023"/>
        </w:numPr>
      </w:pPr>
      <w:r>
        <w:t xml:space="preserve">chemotherapy,</w:t>
      </w:r>
    </w:p>
    <w:p>
      <w:pPr>
        <w:pStyle w:val="Compact"/>
        <w:numPr>
          <w:ilvl w:val="0"/>
          <w:numId w:val="1023"/>
        </w:numPr>
      </w:pPr>
      <w:r>
        <w:t xml:space="preserve">prior RLT,</w:t>
      </w:r>
    </w:p>
    <w:p>
      <w:pPr>
        <w:pStyle w:val="Compact"/>
        <w:numPr>
          <w:ilvl w:val="0"/>
          <w:numId w:val="1023"/>
        </w:numPr>
      </w:pPr>
      <w:r>
        <w:t xml:space="preserve">relevant dates,</w:t>
      </w:r>
    </w:p>
    <w:p>
      <w:pPr>
        <w:pStyle w:val="Compact"/>
        <w:numPr>
          <w:ilvl w:val="0"/>
          <w:numId w:val="1023"/>
        </w:numPr>
      </w:pPr>
      <w:r>
        <w:t xml:space="preserve">free-text notes.</w:t>
      </w:r>
    </w:p>
    <w:p>
      <w:pPr>
        <w:pStyle w:val="FirstParagraph"/>
      </w:pPr>
      <w:r>
        <w:t xml:space="preserve">The physician should confirm only ambiguous or high-impact extracted fields.</w:t>
      </w:r>
    </w:p>
    <w:bookmarkEnd w:id="54"/>
    <w:bookmarkStart w:id="55" w:name="provenance"/>
    <w:p>
      <w:pPr>
        <w:pStyle w:val="Heading2"/>
      </w:pPr>
      <w:r>
        <w:t xml:space="preserve">8.3 Provenance</w:t>
      </w:r>
    </w:p>
    <w:p>
      <w:pPr>
        <w:pStyle w:val="FirstParagraph"/>
      </w:pPr>
      <w:r>
        <w:t xml:space="preserve">Each structured field should store provenance:</w:t>
      </w:r>
    </w:p>
    <w:p>
      <w:pPr>
        <w:pStyle w:val="Compact"/>
        <w:numPr>
          <w:ilvl w:val="0"/>
          <w:numId w:val="1024"/>
        </w:numPr>
      </w:pPr>
      <w:r>
        <w:t xml:space="preserve">imported from RIS/order,</w:t>
      </w:r>
    </w:p>
    <w:p>
      <w:pPr>
        <w:pStyle w:val="Compact"/>
        <w:numPr>
          <w:ilvl w:val="0"/>
          <w:numId w:val="1024"/>
        </w:numPr>
      </w:pPr>
      <w:r>
        <w:t xml:space="preserve">imported from prior report,</w:t>
      </w:r>
    </w:p>
    <w:p>
      <w:pPr>
        <w:pStyle w:val="Compact"/>
        <w:numPr>
          <w:ilvl w:val="0"/>
          <w:numId w:val="1024"/>
        </w:numPr>
      </w:pPr>
      <w:r>
        <w:t xml:space="preserve">extracted from dictation,</w:t>
      </w:r>
    </w:p>
    <w:p>
      <w:pPr>
        <w:pStyle w:val="Compact"/>
        <w:numPr>
          <w:ilvl w:val="0"/>
          <w:numId w:val="1024"/>
        </w:numPr>
      </w:pPr>
      <w:r>
        <w:t xml:space="preserve">manually entered,</w:t>
      </w:r>
    </w:p>
    <w:p>
      <w:pPr>
        <w:pStyle w:val="Compact"/>
        <w:numPr>
          <w:ilvl w:val="0"/>
          <w:numId w:val="1024"/>
        </w:numPr>
      </w:pPr>
      <w:r>
        <w:t xml:space="preserve">edited by physician.</w:t>
      </w:r>
    </w:p>
    <w:bookmarkEnd w:id="55"/>
    <w:bookmarkEnd w:id="56"/>
    <w:bookmarkStart w:id="60" w:name="read-phase---prior-report-handling"/>
    <w:p>
      <w:pPr>
        <w:pStyle w:val="Heading1"/>
      </w:pPr>
      <w:r>
        <w:t xml:space="preserve">9. READ phase - Prior report handling</w:t>
      </w:r>
    </w:p>
    <w:bookmarkStart w:id="57" w:name="prior-report-panel"/>
    <w:p>
      <w:pPr>
        <w:pStyle w:val="Heading2"/>
      </w:pPr>
      <w:r>
        <w:t xml:space="preserve">9.1 Prior report panel</w:t>
      </w:r>
    </w:p>
    <w:p>
      <w:pPr>
        <w:pStyle w:val="FirstParagraph"/>
      </w:pPr>
      <w:r>
        <w:t xml:space="preserve">If a prior report exists, display it as context with three explicit actions: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 as context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Compare with current findings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 as report template</w:t>
      </w:r>
      <w:r>
        <w:t xml:space="preserve">.</w:t>
      </w:r>
    </w:p>
    <w:p>
      <w:pPr>
        <w:pStyle w:val="FirstParagraph"/>
      </w:pPr>
      <w:r>
        <w:t xml:space="preserve">Avoid a primary action called simply</w:t>
      </w:r>
      <w:r>
        <w:t xml:space="preserve"> </w:t>
      </w:r>
      <w:r>
        <w:t xml:space="preserve">“</w:t>
      </w:r>
      <w:r>
        <w:t xml:space="preserve">Copy report</w:t>
      </w:r>
      <w:r>
        <w:t xml:space="preserve">”</w:t>
      </w:r>
      <w:r>
        <w:t xml:space="preserve"> </w:t>
      </w:r>
      <w:r>
        <w:t xml:space="preserve">because it encourages unsafe carryover.</w:t>
      </w:r>
    </w:p>
    <w:bookmarkEnd w:id="57"/>
    <w:bookmarkStart w:id="58" w:name="prior-to-current-statement-mapping"/>
    <w:p>
      <w:pPr>
        <w:pStyle w:val="Heading2"/>
      </w:pPr>
      <w:r>
        <w:t xml:space="preserve">9.2 Prior-to-current statement mapping</w:t>
      </w:r>
    </w:p>
    <w:p>
      <w:pPr>
        <w:pStyle w:val="FirstParagraph"/>
      </w:pPr>
      <w:r>
        <w:t xml:space="preserve">Where feasible, parse the prior report into structured statements or map its statements to known prior lesion tracks/compartments.</w:t>
      </w:r>
    </w:p>
    <w:p>
      <w:pPr>
        <w:pStyle w:val="BodyText"/>
      </w:pPr>
      <w:r>
        <w:t xml:space="preserve">For each prior statement classify:</w:t>
      </w:r>
    </w:p>
    <w:p>
      <w:pPr>
        <w:pStyle w:val="Compact"/>
        <w:numPr>
          <w:ilvl w:val="0"/>
          <w:numId w:val="1026"/>
        </w:numPr>
      </w:pPr>
      <w:r>
        <w:t xml:space="preserve">still valid/unchanged,</w:t>
      </w:r>
    </w:p>
    <w:p>
      <w:pPr>
        <w:pStyle w:val="Compact"/>
        <w:numPr>
          <w:ilvl w:val="0"/>
          <w:numId w:val="1026"/>
        </w:numPr>
      </w:pPr>
      <w:r>
        <w:t xml:space="preserve">modified,</w:t>
      </w:r>
    </w:p>
    <w:p>
      <w:pPr>
        <w:pStyle w:val="Compact"/>
        <w:numPr>
          <w:ilvl w:val="0"/>
          <w:numId w:val="1026"/>
        </w:numPr>
      </w:pPr>
      <w:r>
        <w:t xml:space="preserve">resolved/no longer valid,</w:t>
      </w:r>
    </w:p>
    <w:p>
      <w:pPr>
        <w:pStyle w:val="Compact"/>
        <w:numPr>
          <w:ilvl w:val="0"/>
          <w:numId w:val="1026"/>
        </w:numPr>
      </w:pPr>
      <w:r>
        <w:t xml:space="preserve">contradicted by current findings,</w:t>
      </w:r>
    </w:p>
    <w:p>
      <w:pPr>
        <w:pStyle w:val="Compact"/>
        <w:numPr>
          <w:ilvl w:val="0"/>
          <w:numId w:val="1026"/>
        </w:numPr>
      </w:pPr>
      <w:r>
        <w:t xml:space="preserve">uncertain/unmapped.</w:t>
      </w:r>
    </w:p>
    <w:bookmarkEnd w:id="58"/>
    <w:bookmarkStart w:id="59" w:name="report-template-behavior"/>
    <w:p>
      <w:pPr>
        <w:pStyle w:val="Heading2"/>
      </w:pPr>
      <w:r>
        <w:t xml:space="preserve">9.3 Report template behavior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Use as report template</w:t>
      </w:r>
      <w:r>
        <w:t xml:space="preserve"> </w:t>
      </w:r>
      <w:r>
        <w:t xml:space="preserve">is selected:</w:t>
      </w:r>
    </w:p>
    <w:p>
      <w:pPr>
        <w:pStyle w:val="Compact"/>
        <w:numPr>
          <w:ilvl w:val="0"/>
          <w:numId w:val="1027"/>
        </w:numPr>
      </w:pPr>
      <w:r>
        <w:t xml:space="preserve">preserve section structure,</w:t>
      </w:r>
    </w:p>
    <w:p>
      <w:pPr>
        <w:pStyle w:val="Compact"/>
        <w:numPr>
          <w:ilvl w:val="0"/>
          <w:numId w:val="1027"/>
        </w:numPr>
      </w:pPr>
      <w:r>
        <w:t xml:space="preserve">update objective values from current data,</w:t>
      </w:r>
    </w:p>
    <w:p>
      <w:pPr>
        <w:pStyle w:val="Compact"/>
        <w:numPr>
          <w:ilvl w:val="0"/>
          <w:numId w:val="1027"/>
        </w:numPr>
      </w:pPr>
      <w:r>
        <w:t xml:space="preserve">remove statements contradicted by current validated findings,</w:t>
      </w:r>
    </w:p>
    <w:p>
      <w:pPr>
        <w:pStyle w:val="Compact"/>
        <w:numPr>
          <w:ilvl w:val="0"/>
          <w:numId w:val="1027"/>
        </w:numPr>
      </w:pPr>
      <w:r>
        <w:t xml:space="preserve">add new findings,</w:t>
      </w:r>
    </w:p>
    <w:p>
      <w:pPr>
        <w:pStyle w:val="Compact"/>
        <w:numPr>
          <w:ilvl w:val="0"/>
          <w:numId w:val="1027"/>
        </w:numPr>
      </w:pPr>
      <w:r>
        <w:t xml:space="preserve">preserve unchanged text only after validation,</w:t>
      </w:r>
    </w:p>
    <w:p>
      <w:pPr>
        <w:pStyle w:val="Compact"/>
        <w:numPr>
          <w:ilvl w:val="0"/>
          <w:numId w:val="1027"/>
        </w:numPr>
      </w:pPr>
      <w:r>
        <w:t xml:space="preserve">visually mark changes in the draft until physician approval.</w:t>
      </w:r>
    </w:p>
    <w:bookmarkEnd w:id="59"/>
    <w:bookmarkEnd w:id="60"/>
    <w:bookmarkStart w:id="64" w:name="read-phase---findings-review"/>
    <w:p>
      <w:pPr>
        <w:pStyle w:val="Heading1"/>
      </w:pPr>
      <w:r>
        <w:t xml:space="preserve">10. READ phase - Findings review</w:t>
      </w:r>
    </w:p>
    <w:bookmarkStart w:id="61" w:name="relevant-findings-queue"/>
    <w:p>
      <w:pPr>
        <w:pStyle w:val="Heading2"/>
      </w:pPr>
      <w:r>
        <w:t xml:space="preserve">10.1 Relevant Findings Queue</w:t>
      </w:r>
    </w:p>
    <w:p>
      <w:pPr>
        <w:pStyle w:val="FirstParagraph"/>
      </w:pPr>
      <w:r>
        <w:t xml:space="preserve">Clinical Mode should not force exhaustive lesion-by-lesion confirmation. M3 should prioritize a queue of findings that deserve physician attention.</w:t>
      </w:r>
    </w:p>
    <w:p>
      <w:pPr>
        <w:pStyle w:val="BodyText"/>
      </w:pPr>
      <w:r>
        <w:t xml:space="preserve">Priority examples:</w:t>
      </w:r>
    </w:p>
    <w:p>
      <w:pPr>
        <w:pStyle w:val="Compact"/>
        <w:numPr>
          <w:ilvl w:val="0"/>
          <w:numId w:val="1028"/>
        </w:numPr>
      </w:pPr>
      <w:r>
        <w:t xml:space="preserve">new lesion,</w:t>
      </w:r>
    </w:p>
    <w:p>
      <w:pPr>
        <w:pStyle w:val="Compact"/>
        <w:numPr>
          <w:ilvl w:val="0"/>
          <w:numId w:val="1028"/>
        </w:numPr>
      </w:pPr>
      <w:r>
        <w:t xml:space="preserve">staging-changing lesion,</w:t>
      </w:r>
    </w:p>
    <w:p>
      <w:pPr>
        <w:pStyle w:val="Compact"/>
        <w:numPr>
          <w:ilvl w:val="0"/>
          <w:numId w:val="1028"/>
        </w:numPr>
      </w:pPr>
      <w:r>
        <w:t xml:space="preserve">response-determining lesion,</w:t>
      </w:r>
    </w:p>
    <w:p>
      <w:pPr>
        <w:pStyle w:val="Compact"/>
        <w:numPr>
          <w:ilvl w:val="0"/>
          <w:numId w:val="1028"/>
        </w:numPr>
      </w:pPr>
      <w:r>
        <w:t xml:space="preserve">suspected false positive,</w:t>
      </w:r>
    </w:p>
    <w:p>
      <w:pPr>
        <w:pStyle w:val="Compact"/>
        <w:numPr>
          <w:ilvl w:val="0"/>
          <w:numId w:val="1028"/>
        </w:numPr>
      </w:pPr>
      <w:r>
        <w:t xml:space="preserve">large interval change,</w:t>
      </w:r>
    </w:p>
    <w:p>
      <w:pPr>
        <w:pStyle w:val="Compact"/>
        <w:numPr>
          <w:ilvl w:val="0"/>
          <w:numId w:val="1028"/>
        </w:numPr>
      </w:pPr>
      <w:r>
        <w:t xml:space="preserve">low-confidence segmentation,</w:t>
      </w:r>
    </w:p>
    <w:p>
      <w:pPr>
        <w:pStyle w:val="Compact"/>
        <w:numPr>
          <w:ilvl w:val="0"/>
          <w:numId w:val="1028"/>
        </w:numPr>
      </w:pPr>
      <w:r>
        <w:t xml:space="preserve">questionable anatomy/laterality,</w:t>
      </w:r>
    </w:p>
    <w:p>
      <w:pPr>
        <w:pStyle w:val="Compact"/>
        <w:numPr>
          <w:ilvl w:val="0"/>
          <w:numId w:val="1028"/>
        </w:numPr>
      </w:pPr>
      <w:r>
        <w:t xml:space="preserve">lesion selected as RECIST target,</w:t>
      </w:r>
    </w:p>
    <w:p>
      <w:pPr>
        <w:pStyle w:val="Compact"/>
        <w:numPr>
          <w:ilvl w:val="0"/>
          <w:numId w:val="1028"/>
        </w:numPr>
      </w:pPr>
      <w:r>
        <w:t xml:space="preserve">lesion suggested as a key image,</w:t>
      </w:r>
    </w:p>
    <w:p>
      <w:pPr>
        <w:pStyle w:val="Compact"/>
        <w:numPr>
          <w:ilvl w:val="0"/>
          <w:numId w:val="1028"/>
        </w:numPr>
      </w:pPr>
      <w:r>
        <w:t xml:space="preserve">registration-dependent finding.</w:t>
      </w:r>
    </w:p>
    <w:p>
      <w:pPr>
        <w:pStyle w:val="FirstParagraph"/>
      </w:pPr>
      <w:r>
        <w:t xml:space="preserve">Button/shortcut:</w:t>
      </w:r>
      <w:r>
        <w:t xml:space="preserve"> </w:t>
      </w:r>
      <w:r>
        <w:rPr>
          <w:b/>
          <w:bCs/>
        </w:rPr>
        <w:t xml:space="preserve">Next Relevant Finding</w:t>
      </w:r>
      <w:r>
        <w:t xml:space="preserve">.</w:t>
      </w:r>
    </w:p>
    <w:bookmarkEnd w:id="61"/>
    <w:bookmarkStart w:id="62" w:name="grouping"/>
    <w:p>
      <w:pPr>
        <w:pStyle w:val="Heading2"/>
      </w:pPr>
      <w:r>
        <w:t xml:space="preserve">10.2 Grouping</w:t>
      </w:r>
    </w:p>
    <w:p>
      <w:pPr>
        <w:pStyle w:val="FirstParagraph"/>
      </w:pPr>
      <w:r>
        <w:t xml:space="preserve">Default list should be grouped by disease compartment:</w:t>
      </w:r>
    </w:p>
    <w:p>
      <w:pPr>
        <w:pStyle w:val="Compact"/>
        <w:numPr>
          <w:ilvl w:val="0"/>
          <w:numId w:val="1029"/>
        </w:numPr>
      </w:pPr>
      <w:r>
        <w:t xml:space="preserve">prostate/prostate bed,</w:t>
      </w:r>
    </w:p>
    <w:p>
      <w:pPr>
        <w:pStyle w:val="Compact"/>
        <w:numPr>
          <w:ilvl w:val="0"/>
          <w:numId w:val="1029"/>
        </w:numPr>
      </w:pPr>
      <w:r>
        <w:t xml:space="preserve">pelvic nodes,</w:t>
      </w:r>
    </w:p>
    <w:p>
      <w:pPr>
        <w:pStyle w:val="Compact"/>
        <w:numPr>
          <w:ilvl w:val="0"/>
          <w:numId w:val="1029"/>
        </w:numPr>
      </w:pPr>
      <w:r>
        <w:t xml:space="preserve">extrapelvic nodes,</w:t>
      </w:r>
    </w:p>
    <w:p>
      <w:pPr>
        <w:pStyle w:val="Compact"/>
        <w:numPr>
          <w:ilvl w:val="0"/>
          <w:numId w:val="1029"/>
        </w:numPr>
      </w:pPr>
      <w:r>
        <w:t xml:space="preserve">bone,</w:t>
      </w:r>
    </w:p>
    <w:p>
      <w:pPr>
        <w:pStyle w:val="Compact"/>
        <w:numPr>
          <w:ilvl w:val="0"/>
          <w:numId w:val="1029"/>
        </w:numPr>
      </w:pPr>
      <w:r>
        <w:t xml:space="preserve">visceral/other.</w:t>
      </w:r>
    </w:p>
    <w:p>
      <w:pPr>
        <w:pStyle w:val="FirstParagraph"/>
      </w:pPr>
      <w:r>
        <w:t xml:space="preserve">In disseminated disease, the interface should show group counts and representative lesions rather than 80 equally prominent rows.</w:t>
      </w:r>
    </w:p>
    <w:bookmarkEnd w:id="62"/>
    <w:bookmarkStart w:id="63" w:name="lesion-actions"/>
    <w:p>
      <w:pPr>
        <w:pStyle w:val="Heading2"/>
      </w:pPr>
      <w:r>
        <w:t xml:space="preserve">10.3 Lesion actions</w:t>
      </w:r>
    </w:p>
    <w:p>
      <w:pPr>
        <w:pStyle w:val="FirstParagraph"/>
      </w:pPr>
      <w:r>
        <w:t xml:space="preserve">Reuse the same core controls as Scientific Mode to reduce training burden:</w:t>
      </w:r>
    </w:p>
    <w:p>
      <w:pPr>
        <w:pStyle w:val="Compact"/>
        <w:numPr>
          <w:ilvl w:val="0"/>
          <w:numId w:val="1030"/>
        </w:numPr>
      </w:pPr>
      <w:r>
        <w:t xml:space="preserve">A = Accept.</w:t>
      </w:r>
    </w:p>
    <w:p>
      <w:pPr>
        <w:pStyle w:val="Compact"/>
        <w:numPr>
          <w:ilvl w:val="0"/>
          <w:numId w:val="1030"/>
        </w:numPr>
      </w:pPr>
      <w:r>
        <w:t xml:space="preserve">R = Reject.</w:t>
      </w:r>
    </w:p>
    <w:p>
      <w:pPr>
        <w:pStyle w:val="Compact"/>
        <w:numPr>
          <w:ilvl w:val="0"/>
          <w:numId w:val="1030"/>
        </w:numPr>
      </w:pPr>
      <w:r>
        <w:t xml:space="preserve">E = Edit/Correct.</w:t>
      </w:r>
    </w:p>
    <w:p>
      <w:pPr>
        <w:pStyle w:val="Compact"/>
        <w:numPr>
          <w:ilvl w:val="0"/>
          <w:numId w:val="1030"/>
        </w:numPr>
      </w:pPr>
      <w:r>
        <w:t xml:space="preserve">N = New lesion.</w:t>
      </w:r>
    </w:p>
    <w:p>
      <w:pPr>
        <w:pStyle w:val="Compact"/>
        <w:numPr>
          <w:ilvl w:val="0"/>
          <w:numId w:val="1030"/>
        </w:numPr>
      </w:pPr>
      <w:r>
        <w:t xml:space="preserve">P = Prompt segmentation.</w:t>
      </w:r>
    </w:p>
    <w:p>
      <w:pPr>
        <w:pStyle w:val="Compact"/>
        <w:numPr>
          <w:ilvl w:val="0"/>
          <w:numId w:val="1030"/>
        </w:numPr>
      </w:pPr>
      <w:r>
        <w:t xml:space="preserve">C = Center lesion.</w:t>
      </w:r>
    </w:p>
    <w:p>
      <w:pPr>
        <w:pStyle w:val="FirstParagraph"/>
      </w:pPr>
      <w:r>
        <w:t xml:space="preserve">Clinical Mode may treat high-confidence, noncritical machine lesions as accepted for quantification without requiring explicit individual confirmation, depending on deployment policy. However, any lesion used to change stage/response or included as a key finding must be physician-validated.</w:t>
      </w:r>
    </w:p>
    <w:bookmarkEnd w:id="63"/>
    <w:bookmarkEnd w:id="64"/>
    <w:bookmarkStart w:id="67" w:name="finding-dictation"/>
    <w:p>
      <w:pPr>
        <w:pStyle w:val="Heading1"/>
      </w:pPr>
      <w:r>
        <w:t xml:space="preserve">11. Finding dictation</w:t>
      </w:r>
    </w:p>
    <w:bookmarkStart w:id="65" w:name="context-linked-dictation"/>
    <w:p>
      <w:pPr>
        <w:pStyle w:val="Heading2"/>
      </w:pPr>
      <w:r>
        <w:t xml:space="preserve">11.1 Context-linked dictation</w:t>
      </w:r>
    </w:p>
    <w:p>
      <w:pPr>
        <w:pStyle w:val="FirstParagraph"/>
      </w:pPr>
      <w:r>
        <w:t xml:space="preserve">When a finding is selected, pressing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starts finding dictation linked to that object.</w:t>
      </w:r>
    </w:p>
    <w:p>
      <w:pPr>
        <w:pStyle w:val="BodyText"/>
      </w:pPr>
      <w:r>
        <w:t xml:space="preserve">Example physician dictation:</w:t>
      </w:r>
    </w:p>
    <w:p>
      <w:pPr>
        <w:pStyle w:val="BodyText"/>
      </w:pPr>
      <w:r>
        <w:rPr>
          <w:rStyle w:val="VerbatimChar"/>
        </w:rPr>
        <w:t xml:space="preserve">Left iliac bone metastasis clearly regressive compared with the prior study, still definitely PSMA positive.</w:t>
      </w:r>
    </w:p>
    <w:p>
      <w:pPr>
        <w:pStyle w:val="BodyText"/>
      </w:pPr>
      <w:r>
        <w:t xml:space="preserve">The application already knows:</w:t>
      </w:r>
    </w:p>
    <w:p>
      <w:pPr>
        <w:pStyle w:val="Compact"/>
        <w:numPr>
          <w:ilvl w:val="0"/>
          <w:numId w:val="1031"/>
        </w:numPr>
      </w:pPr>
      <w:r>
        <w:t xml:space="preserve">lesion ID,</w:t>
      </w:r>
    </w:p>
    <w:p>
      <w:pPr>
        <w:pStyle w:val="Compact"/>
        <w:numPr>
          <w:ilvl w:val="0"/>
          <w:numId w:val="1031"/>
        </w:numPr>
      </w:pPr>
      <w:r>
        <w:t xml:space="preserve">location,</w:t>
      </w:r>
    </w:p>
    <w:p>
      <w:pPr>
        <w:pStyle w:val="Compact"/>
        <w:numPr>
          <w:ilvl w:val="0"/>
          <w:numId w:val="1031"/>
        </w:numPr>
      </w:pPr>
      <w:r>
        <w:t xml:space="preserve">current SUVmax,</w:t>
      </w:r>
    </w:p>
    <w:p>
      <w:pPr>
        <w:pStyle w:val="Compact"/>
        <w:numPr>
          <w:ilvl w:val="0"/>
          <w:numId w:val="1031"/>
        </w:numPr>
      </w:pPr>
      <w:r>
        <w:t xml:space="preserve">previous SUVmax,</w:t>
      </w:r>
    </w:p>
    <w:p>
      <w:pPr>
        <w:pStyle w:val="Compact"/>
        <w:numPr>
          <w:ilvl w:val="0"/>
          <w:numId w:val="1031"/>
        </w:numPr>
      </w:pPr>
      <w:r>
        <w:t xml:space="preserve">current/prior volume,</w:t>
      </w:r>
    </w:p>
    <w:p>
      <w:pPr>
        <w:pStyle w:val="Compact"/>
        <w:numPr>
          <w:ilvl w:val="0"/>
          <w:numId w:val="1031"/>
        </w:numPr>
      </w:pPr>
      <w:r>
        <w:t xml:space="preserve">current/prior size,</w:t>
      </w:r>
    </w:p>
    <w:p>
      <w:pPr>
        <w:pStyle w:val="Compact"/>
        <w:numPr>
          <w:ilvl w:val="0"/>
          <w:numId w:val="1031"/>
        </w:numPr>
      </w:pPr>
      <w:r>
        <w:t xml:space="preserve">response state.</w:t>
      </w:r>
    </w:p>
    <w:p>
      <w:pPr>
        <w:pStyle w:val="FirstParagraph"/>
      </w:pPr>
      <w:r>
        <w:t xml:space="preserve">The report generator may therefore produce:</w:t>
      </w:r>
    </w:p>
    <w:p>
      <w:pPr>
        <w:pStyle w:val="BodyText"/>
      </w:pPr>
      <w:r>
        <w:rPr>
          <w:rStyle w:val="VerbatimChar"/>
        </w:rPr>
        <w:t xml:space="preserve">The known PSMA-positive metastasis in the left ilium shows clear metabolic and volumetric regression (SUVmax 12.1 -&gt; 8.7; segmented volume -28%).</w:t>
      </w:r>
    </w:p>
    <w:p>
      <w:pPr>
        <w:pStyle w:val="BodyText"/>
      </w:pPr>
      <w:r>
        <w:t xml:space="preserve">The physician supplies interpretation; the software supplies validated objective numbers.</w:t>
      </w:r>
    </w:p>
    <w:bookmarkEnd w:id="65"/>
    <w:bookmarkStart w:id="66" w:name="dictation-provenance"/>
    <w:p>
      <w:pPr>
        <w:pStyle w:val="Heading2"/>
      </w:pPr>
      <w:r>
        <w:t xml:space="preserve">11.2 Dictation provenance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2"/>
        </w:numPr>
      </w:pPr>
      <w:r>
        <w:t xml:space="preserve">raw audio reference if permitted by deployment,</w:t>
      </w:r>
    </w:p>
    <w:p>
      <w:pPr>
        <w:pStyle w:val="Compact"/>
        <w:numPr>
          <w:ilvl w:val="0"/>
          <w:numId w:val="1032"/>
        </w:numPr>
      </w:pPr>
      <w:r>
        <w:t xml:space="preserve">raw transcription,</w:t>
      </w:r>
    </w:p>
    <w:p>
      <w:pPr>
        <w:pStyle w:val="Compact"/>
        <w:numPr>
          <w:ilvl w:val="0"/>
          <w:numId w:val="1032"/>
        </w:numPr>
      </w:pPr>
      <w:r>
        <w:t xml:space="preserve">linked finding IDs,</w:t>
      </w:r>
    </w:p>
    <w:p>
      <w:pPr>
        <w:pStyle w:val="Compact"/>
        <w:numPr>
          <w:ilvl w:val="0"/>
          <w:numId w:val="1032"/>
        </w:numPr>
      </w:pPr>
      <w:r>
        <w:t xml:space="preserve">generated/rewritten sentence,</w:t>
      </w:r>
    </w:p>
    <w:p>
      <w:pPr>
        <w:pStyle w:val="Compact"/>
        <w:numPr>
          <w:ilvl w:val="0"/>
          <w:numId w:val="1032"/>
        </w:numPr>
      </w:pPr>
      <w:r>
        <w:t xml:space="preserve">final physician-edited sentence.</w:t>
      </w:r>
    </w:p>
    <w:bookmarkEnd w:id="66"/>
    <w:bookmarkEnd w:id="67"/>
    <w:bookmarkStart w:id="71" w:name="assess-phase---initial-staging"/>
    <w:p>
      <w:pPr>
        <w:pStyle w:val="Heading1"/>
      </w:pPr>
      <w:r>
        <w:t xml:space="preserve">12. ASSESS phase - Initial staging</w:t>
      </w:r>
    </w:p>
    <w:bookmarkStart w:id="68" w:name="primary-output"/>
    <w:p>
      <w:pPr>
        <w:pStyle w:val="Heading2"/>
      </w:pPr>
      <w:r>
        <w:t xml:space="preserve">12.1 Primary output</w:t>
      </w:r>
    </w:p>
    <w:p>
      <w:pPr>
        <w:pStyle w:val="FirstParagraph"/>
      </w:pPr>
      <w:r>
        <w:t xml:space="preserve">PROMISE/miTNM should be prominent.</w:t>
      </w:r>
    </w:p>
    <w:p>
      <w:pPr>
        <w:pStyle w:val="BodyText"/>
      </w:pPr>
      <w:r>
        <w:t xml:space="preserve">The rule engine derives a candidate classification from validated findings and anatomy. Example:</w:t>
      </w:r>
    </w:p>
    <w:p>
      <w:pPr>
        <w:pStyle w:val="Compact"/>
        <w:numPr>
          <w:ilvl w:val="0"/>
          <w:numId w:val="1033"/>
        </w:numPr>
      </w:pPr>
      <w:r>
        <w:t xml:space="preserve">miT category,</w:t>
      </w:r>
    </w:p>
    <w:p>
      <w:pPr>
        <w:pStyle w:val="Compact"/>
        <w:numPr>
          <w:ilvl w:val="0"/>
          <w:numId w:val="1033"/>
        </w:numPr>
      </w:pPr>
      <w:r>
        <w:t xml:space="preserve">miN category,</w:t>
      </w:r>
    </w:p>
    <w:p>
      <w:pPr>
        <w:pStyle w:val="Compact"/>
        <w:numPr>
          <w:ilvl w:val="0"/>
          <w:numId w:val="1033"/>
        </w:numPr>
      </w:pPr>
      <w:r>
        <w:t xml:space="preserve">miM category and subcategory.</w:t>
      </w:r>
    </w:p>
    <w:bookmarkEnd w:id="68"/>
    <w:bookmarkStart w:id="69" w:name="physician-confirmation"/>
    <w:p>
      <w:pPr>
        <w:pStyle w:val="Heading2"/>
      </w:pPr>
      <w:r>
        <w:t xml:space="preserve">12.2 Physician confirmation</w:t>
      </w:r>
    </w:p>
    <w:p>
      <w:pPr>
        <w:pStyle w:val="FirstParagraph"/>
      </w:pPr>
      <w:r>
        <w:t xml:space="preserve">The candidate stage is not silently finalized. Provide:</w:t>
      </w:r>
    </w:p>
    <w:p>
      <w:pPr>
        <w:pStyle w:val="Compact"/>
        <w:numPr>
          <w:ilvl w:val="0"/>
          <w:numId w:val="1034"/>
        </w:numPr>
      </w:pPr>
      <w:r>
        <w:t xml:space="preserve">candidate classification,</w:t>
      </w:r>
    </w:p>
    <w:p>
      <w:pPr>
        <w:pStyle w:val="Compact"/>
        <w:numPr>
          <w:ilvl w:val="0"/>
          <w:numId w:val="1034"/>
        </w:numPr>
      </w:pPr>
      <w:r>
        <w:t xml:space="preserve">evidence list,</w:t>
      </w:r>
    </w:p>
    <w:p>
      <w:pPr>
        <w:pStyle w:val="Compact"/>
        <w:numPr>
          <w:ilvl w:val="0"/>
          <w:numId w:val="1034"/>
        </w:numPr>
      </w:pPr>
      <w:r>
        <w:t xml:space="preserve">Why? explanation,</w:t>
      </w:r>
    </w:p>
    <w:p>
      <w:pPr>
        <w:pStyle w:val="Compact"/>
        <w:numPr>
          <w:ilvl w:val="0"/>
          <w:numId w:val="1034"/>
        </w:numPr>
      </w:pPr>
      <w:r>
        <w:t xml:space="preserve">Confirm/Override controls,</w:t>
      </w:r>
    </w:p>
    <w:p>
      <w:pPr>
        <w:pStyle w:val="Compact"/>
        <w:numPr>
          <w:ilvl w:val="0"/>
          <w:numId w:val="1034"/>
        </w:numPr>
      </w:pPr>
      <w:r>
        <w:t xml:space="preserve">override reason field when applicable.</w:t>
      </w:r>
    </w:p>
    <w:bookmarkEnd w:id="69"/>
    <w:bookmarkStart w:id="70" w:name="display-priorities"/>
    <w:p>
      <w:pPr>
        <w:pStyle w:val="Heading2"/>
      </w:pPr>
      <w:r>
        <w:t xml:space="preserve">12.3 Display priorities</w:t>
      </w:r>
    </w:p>
    <w:p>
      <w:pPr>
        <w:pStyle w:val="FirstParagraph"/>
      </w:pPr>
      <w:r>
        <w:t xml:space="preserve">Initial staging view emphasizes:</w:t>
      </w:r>
    </w:p>
    <w:p>
      <w:pPr>
        <w:pStyle w:val="Compact"/>
        <w:numPr>
          <w:ilvl w:val="0"/>
          <w:numId w:val="1035"/>
        </w:numPr>
      </w:pPr>
      <w:r>
        <w:t xml:space="preserve">primary/prostate bed,</w:t>
      </w:r>
    </w:p>
    <w:p>
      <w:pPr>
        <w:pStyle w:val="Compact"/>
        <w:numPr>
          <w:ilvl w:val="0"/>
          <w:numId w:val="1035"/>
        </w:numPr>
      </w:pPr>
      <w:r>
        <w:t xml:space="preserve">local extension,</w:t>
      </w:r>
    </w:p>
    <w:p>
      <w:pPr>
        <w:pStyle w:val="Compact"/>
        <w:numPr>
          <w:ilvl w:val="0"/>
          <w:numId w:val="1035"/>
        </w:numPr>
      </w:pPr>
      <w:r>
        <w:t xml:space="preserve">pelvic nodes,</w:t>
      </w:r>
    </w:p>
    <w:p>
      <w:pPr>
        <w:pStyle w:val="Compact"/>
        <w:numPr>
          <w:ilvl w:val="0"/>
          <w:numId w:val="1035"/>
        </w:numPr>
      </w:pPr>
      <w:r>
        <w:t xml:space="preserve">extrapelvic nodes,</w:t>
      </w:r>
    </w:p>
    <w:p>
      <w:pPr>
        <w:pStyle w:val="Compact"/>
        <w:numPr>
          <w:ilvl w:val="0"/>
          <w:numId w:val="1035"/>
        </w:numPr>
      </w:pPr>
      <w:r>
        <w:t xml:space="preserve">bone metastases,</w:t>
      </w:r>
    </w:p>
    <w:p>
      <w:pPr>
        <w:pStyle w:val="Compact"/>
        <w:numPr>
          <w:ilvl w:val="0"/>
          <w:numId w:val="1035"/>
        </w:numPr>
      </w:pPr>
      <w:r>
        <w:t xml:space="preserve">visceral metastases,</w:t>
      </w:r>
    </w:p>
    <w:p>
      <w:pPr>
        <w:pStyle w:val="Compact"/>
        <w:numPr>
          <w:ilvl w:val="0"/>
          <w:numId w:val="1035"/>
        </w:numPr>
      </w:pPr>
      <w:r>
        <w:t xml:space="preserve">PSMA expression/reference tissues.</w:t>
      </w:r>
    </w:p>
    <w:p>
      <w:pPr>
        <w:pStyle w:val="FirstParagraph"/>
      </w:pPr>
      <w:r>
        <w:t xml:space="preserve">Do not make RECIST a prominent default in initial staging.</w:t>
      </w:r>
    </w:p>
    <w:bookmarkEnd w:id="70"/>
    <w:bookmarkEnd w:id="71"/>
    <w:bookmarkStart w:id="75" w:name="assess-phase---biochemical-recurrence"/>
    <w:p>
      <w:pPr>
        <w:pStyle w:val="Heading1"/>
      </w:pPr>
      <w:r>
        <w:t xml:space="preserve">13. ASSESS phase - Biochemical recurrence</w:t>
      </w:r>
    </w:p>
    <w:bookmarkStart w:id="72" w:name="primary-question"/>
    <w:p>
      <w:pPr>
        <w:pStyle w:val="Heading2"/>
      </w:pPr>
      <w:r>
        <w:t xml:space="preserve">13.1 Primary question</w:t>
      </w:r>
    </w:p>
    <w:p>
      <w:pPr>
        <w:pStyle w:val="FirstParagraph"/>
      </w:pPr>
      <w:r>
        <w:rPr>
          <w:rStyle w:val="VerbatimChar"/>
        </w:rPr>
        <w:t xml:space="preserve">Where is recurrent disease?</w:t>
      </w:r>
    </w:p>
    <w:p>
      <w:pPr>
        <w:pStyle w:val="BodyText"/>
      </w:pPr>
      <w:r>
        <w:t xml:space="preserve">Provide a compartment summary: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Prostate bed/local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/ Negative / 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Pelvic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/ Negative / 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Extrapelvic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/ Negative / 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/ Negative / Indeterminate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Visceral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/ Negative / Indeterminate</w:t>
            </w:r>
          </w:p>
        </w:tc>
      </w:tr>
    </w:tbl>
    <w:bookmarkEnd w:id="72"/>
    <w:bookmarkStart w:id="73" w:name="context-fields"/>
    <w:p>
      <w:pPr>
        <w:pStyle w:val="Heading2"/>
      </w:pPr>
      <w:r>
        <w:t xml:space="preserve">13.2 Context fields</w:t>
      </w:r>
    </w:p>
    <w:p>
      <w:pPr>
        <w:pStyle w:val="FirstParagraph"/>
      </w:pPr>
      <w:r>
        <w:t xml:space="preserve">Surface when available:</w:t>
      </w:r>
    </w:p>
    <w:p>
      <w:pPr>
        <w:pStyle w:val="Compact"/>
        <w:numPr>
          <w:ilvl w:val="0"/>
          <w:numId w:val="1036"/>
        </w:numPr>
      </w:pPr>
      <w:r>
        <w:t xml:space="preserve">current PSA,</w:t>
      </w:r>
    </w:p>
    <w:p>
      <w:pPr>
        <w:pStyle w:val="Compact"/>
        <w:numPr>
          <w:ilvl w:val="0"/>
          <w:numId w:val="1036"/>
        </w:numPr>
      </w:pPr>
      <w:r>
        <w:t xml:space="preserve">PSA kinetics/PSADT,</w:t>
      </w:r>
    </w:p>
    <w:p>
      <w:pPr>
        <w:pStyle w:val="Compact"/>
        <w:numPr>
          <w:ilvl w:val="0"/>
          <w:numId w:val="1036"/>
        </w:numPr>
      </w:pPr>
      <w:r>
        <w:t xml:space="preserve">prostatectomy/radiotherapy history,</w:t>
      </w:r>
    </w:p>
    <w:p>
      <w:pPr>
        <w:pStyle w:val="Compact"/>
        <w:numPr>
          <w:ilvl w:val="0"/>
          <w:numId w:val="1036"/>
        </w:numPr>
      </w:pPr>
      <w:r>
        <w:t xml:space="preserve">current systemic therapy,</w:t>
      </w:r>
    </w:p>
    <w:p>
      <w:pPr>
        <w:pStyle w:val="Compact"/>
        <w:numPr>
          <w:ilvl w:val="0"/>
          <w:numId w:val="1036"/>
        </w:numPr>
      </w:pPr>
      <w:r>
        <w:t xml:space="preserve">prior PSMA PET/CT date.</w:t>
      </w:r>
    </w:p>
    <w:bookmarkEnd w:id="73"/>
    <w:bookmarkStart w:id="74" w:name="output"/>
    <w:p>
      <w:pPr>
        <w:pStyle w:val="Heading2"/>
      </w:pPr>
      <w:r>
        <w:t xml:space="preserve">13.3 Output</w:t>
      </w:r>
    </w:p>
    <w:p>
      <w:pPr>
        <w:pStyle w:val="FirstParagraph"/>
      </w:pPr>
      <w:r>
        <w:t xml:space="preserve">Produce:</w:t>
      </w:r>
    </w:p>
    <w:p>
      <w:pPr>
        <w:pStyle w:val="Compact"/>
        <w:numPr>
          <w:ilvl w:val="0"/>
          <w:numId w:val="1037"/>
        </w:numPr>
      </w:pPr>
      <w:r>
        <w:t xml:space="preserve">recurrence distribution,</w:t>
      </w:r>
    </w:p>
    <w:p>
      <w:pPr>
        <w:pStyle w:val="Compact"/>
        <w:numPr>
          <w:ilvl w:val="0"/>
          <w:numId w:val="1037"/>
        </w:numPr>
      </w:pPr>
      <w:r>
        <w:t xml:space="preserve">candidate miTNM/PROMISE classification,</w:t>
      </w:r>
    </w:p>
    <w:p>
      <w:pPr>
        <w:pStyle w:val="Compact"/>
        <w:numPr>
          <w:ilvl w:val="0"/>
          <w:numId w:val="1037"/>
        </w:numPr>
      </w:pPr>
      <w:r>
        <w:t xml:space="preserve">concise quantitative disease summary,</w:t>
      </w:r>
    </w:p>
    <w:p>
      <w:pPr>
        <w:pStyle w:val="Compact"/>
        <w:numPr>
          <w:ilvl w:val="0"/>
          <w:numId w:val="1037"/>
        </w:numPr>
      </w:pPr>
      <w:r>
        <w:t xml:space="preserve">optional comparison with prior examination.</w:t>
      </w:r>
    </w:p>
    <w:bookmarkEnd w:id="74"/>
    <w:bookmarkEnd w:id="75"/>
    <w:bookmarkStart w:id="79" w:name="assess-phase---pre-rlt-baseline"/>
    <w:p>
      <w:pPr>
        <w:pStyle w:val="Heading1"/>
      </w:pPr>
      <w:r>
        <w:t xml:space="preserve">14. ASSESS phase - Pre-RLT baseline</w:t>
      </w:r>
    </w:p>
    <w:bookmarkStart w:id="76" w:name="primary-question-1"/>
    <w:p>
      <w:pPr>
        <w:pStyle w:val="Heading2"/>
      </w:pPr>
      <w:r>
        <w:t xml:space="preserve">14.1 Primary question</w:t>
      </w:r>
    </w:p>
    <w:p>
      <w:pPr>
        <w:pStyle w:val="FirstParagraph"/>
      </w:pPr>
      <w:r>
        <w:rPr>
          <w:rStyle w:val="VerbatimChar"/>
        </w:rPr>
        <w:t xml:space="preserve">What is the baseline PSMA-positive disease burden and distribution before radioligand therapy?</w:t>
      </w:r>
    </w:p>
    <w:bookmarkEnd w:id="76"/>
    <w:bookmarkStart w:id="77" w:name="core-quantitative-summary"/>
    <w:p>
      <w:pPr>
        <w:pStyle w:val="Heading2"/>
      </w:pPr>
      <w:r>
        <w:t xml:space="preserve">14.2 Core quantitative summary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8"/>
        </w:numPr>
      </w:pPr>
      <w:r>
        <w:t xml:space="preserve">TMTV / total PSMA-positive tumor volume,</w:t>
      </w:r>
    </w:p>
    <w:p>
      <w:pPr>
        <w:pStyle w:val="Compact"/>
        <w:numPr>
          <w:ilvl w:val="0"/>
          <w:numId w:val="1038"/>
        </w:numPr>
      </w:pPr>
      <w:r>
        <w:t xml:space="preserve">lesion count where meaningful,</w:t>
      </w:r>
    </w:p>
    <w:p>
      <w:pPr>
        <w:pStyle w:val="Compact"/>
        <w:numPr>
          <w:ilvl w:val="0"/>
          <w:numId w:val="1038"/>
        </w:numPr>
      </w:pPr>
      <w:r>
        <w:t xml:space="preserve">dominant/representative lesions,</w:t>
      </w:r>
    </w:p>
    <w:p>
      <w:pPr>
        <w:pStyle w:val="Compact"/>
        <w:numPr>
          <w:ilvl w:val="0"/>
          <w:numId w:val="1038"/>
        </w:numPr>
      </w:pPr>
      <w:r>
        <w:t xml:space="preserve">distribution by compartment,</w:t>
      </w:r>
    </w:p>
    <w:p>
      <w:pPr>
        <w:pStyle w:val="Compact"/>
        <w:numPr>
          <w:ilvl w:val="0"/>
          <w:numId w:val="1038"/>
        </w:numPr>
      </w:pPr>
      <w:r>
        <w:t xml:space="preserve">blood pool SUVmean,</w:t>
      </w:r>
    </w:p>
    <w:p>
      <w:pPr>
        <w:pStyle w:val="Compact"/>
        <w:numPr>
          <w:ilvl w:val="0"/>
          <w:numId w:val="1038"/>
        </w:numPr>
      </w:pPr>
      <w:r>
        <w:t xml:space="preserve">liver SUVmean,</w:t>
      </w:r>
    </w:p>
    <w:p>
      <w:pPr>
        <w:pStyle w:val="Compact"/>
        <w:numPr>
          <w:ilvl w:val="0"/>
          <w:numId w:val="1038"/>
        </w:numPr>
      </w:pPr>
      <w:r>
        <w:t xml:space="preserve">parotid SUVmean,</w:t>
      </w:r>
    </w:p>
    <w:p>
      <w:pPr>
        <w:pStyle w:val="Compact"/>
        <w:numPr>
          <w:ilvl w:val="0"/>
          <w:numId w:val="1038"/>
        </w:numPr>
      </w:pPr>
      <w:r>
        <w:t xml:space="preserve">uptake heterogeneity indicators if implemented,</w:t>
      </w:r>
    </w:p>
    <w:p>
      <w:pPr>
        <w:pStyle w:val="Compact"/>
        <w:numPr>
          <w:ilvl w:val="0"/>
          <w:numId w:val="1038"/>
        </w:numPr>
      </w:pPr>
      <w:r>
        <w:t xml:space="preserve">bulky disease flags,</w:t>
      </w:r>
    </w:p>
    <w:p>
      <w:pPr>
        <w:pStyle w:val="Compact"/>
        <w:numPr>
          <w:ilvl w:val="0"/>
          <w:numId w:val="1038"/>
        </w:numPr>
      </w:pPr>
      <w:r>
        <w:t xml:space="preserve">osseous/visceral involvement.</w:t>
      </w:r>
    </w:p>
    <w:bookmarkEnd w:id="77"/>
    <w:bookmarkStart w:id="78" w:name="baseline-designation"/>
    <w:p>
      <w:pPr>
        <w:pStyle w:val="Heading2"/>
      </w:pPr>
      <w:r>
        <w:t xml:space="preserve">14.3 Baseline designation</w:t>
      </w:r>
    </w:p>
    <w:p>
      <w:pPr>
        <w:pStyle w:val="FirstParagraph"/>
      </w:pPr>
      <w:r>
        <w:t xml:space="preserve">One physician-confirmed action should mark the study as</w:t>
      </w:r>
      <w:r>
        <w:t xml:space="preserve"> </w:t>
      </w:r>
      <w:r>
        <w:rPr>
          <w:b/>
          <w:bCs/>
        </w:rPr>
        <w:t xml:space="preserve">RLT baseline</w:t>
      </w:r>
      <w:r>
        <w:t xml:space="preserve">. Future post-RLT examinations should automatically offer this examination as the baseline reference on M2.</w:t>
      </w:r>
    </w:p>
    <w:bookmarkEnd w:id="78"/>
    <w:bookmarkEnd w:id="79"/>
    <w:bookmarkStart w:id="83" w:name="assess-phase---interimpost-rlt-response"/>
    <w:p>
      <w:pPr>
        <w:pStyle w:val="Heading1"/>
      </w:pPr>
      <w:r>
        <w:t xml:space="preserve">15. ASSESS phase - Interim/Post-RLT response</w:t>
      </w:r>
    </w:p>
    <w:bookmarkStart w:id="80" w:name="comparison-references"/>
    <w:p>
      <w:pPr>
        <w:pStyle w:val="Heading2"/>
      </w:pPr>
      <w:r>
        <w:t xml:space="preserve">15.1 Comparison references</w:t>
      </w:r>
    </w:p>
    <w:p>
      <w:pPr>
        <w:pStyle w:val="FirstParagraph"/>
      </w:pPr>
      <w:r>
        <w:t xml:space="preserve">Support two references:</w:t>
      </w:r>
    </w:p>
    <w:p>
      <w:pPr>
        <w:pStyle w:val="Compact"/>
        <w:numPr>
          <w:ilvl w:val="0"/>
          <w:numId w:val="1039"/>
        </w:numPr>
      </w:pPr>
      <w:r>
        <w:t xml:space="preserve">Baseline/pre-RLT.</w:t>
      </w:r>
    </w:p>
    <w:p>
      <w:pPr>
        <w:pStyle w:val="Compact"/>
        <w:numPr>
          <w:ilvl w:val="0"/>
          <w:numId w:val="1039"/>
        </w:numPr>
      </w:pPr>
      <w:r>
        <w:t xml:space="preserve">Previous examination/cycle.</w:t>
      </w:r>
    </w:p>
    <w:p>
      <w:pPr>
        <w:pStyle w:val="FirstParagraph"/>
      </w:pPr>
      <w:r>
        <w:t xml:space="preserve">The UI must make it unambiguous which reference is active.</w:t>
      </w:r>
    </w:p>
    <w:bookmarkEnd w:id="80"/>
    <w:bookmarkStart w:id="81" w:name="response-dashboard"/>
    <w:p>
      <w:pPr>
        <w:pStyle w:val="Heading2"/>
      </w:pPr>
      <w:r>
        <w:t xml:space="preserve">15.2 Response dashboard</w:t>
      </w:r>
    </w:p>
    <w:p>
      <w:pPr>
        <w:pStyle w:val="FirstParagraph"/>
      </w:pPr>
      <w:r>
        <w:t xml:space="preserve">Compact example: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 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PSMA-positive lesions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 SUVmax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Values are generated from structured data, not LLM interpretation.</w:t>
      </w:r>
    </w:p>
    <w:bookmarkEnd w:id="81"/>
    <w:bookmarkStart w:id="82" w:name="recip"/>
    <w:p>
      <w:pPr>
        <w:pStyle w:val="Heading2"/>
      </w:pPr>
      <w:r>
        <w:t xml:space="preserve">15.3 RECIP</w:t>
      </w:r>
    </w:p>
    <w:p>
      <w:pPr>
        <w:pStyle w:val="FirstParagraph"/>
      </w:pPr>
      <w:r>
        <w:t xml:space="preserve">Where the clinical context and implementation criteria are applicable, calculate a</w:t>
      </w:r>
      <w:r>
        <w:t xml:space="preserve"> </w:t>
      </w:r>
      <w:r>
        <w:rPr>
          <w:b/>
          <w:bCs/>
        </w:rPr>
        <w:t xml:space="preserve">candidate RECIP classification</w:t>
      </w:r>
      <w:r>
        <w:t xml:space="preserve"> </w:t>
      </w:r>
      <w:r>
        <w:t xml:space="preserve">using deterministic code. Show:</w:t>
      </w:r>
    </w:p>
    <w:p>
      <w:pPr>
        <w:pStyle w:val="Compact"/>
        <w:numPr>
          <w:ilvl w:val="0"/>
          <w:numId w:val="1040"/>
        </w:numPr>
      </w:pPr>
      <w:r>
        <w:t xml:space="preserve">candidate class,</w:t>
      </w:r>
    </w:p>
    <w:p>
      <w:pPr>
        <w:pStyle w:val="Compact"/>
        <w:numPr>
          <w:ilvl w:val="0"/>
          <w:numId w:val="1040"/>
        </w:numPr>
      </w:pPr>
      <w:r>
        <w:t xml:space="preserve">inputs used,</w:t>
      </w:r>
    </w:p>
    <w:p>
      <w:pPr>
        <w:pStyle w:val="Compact"/>
        <w:numPr>
          <w:ilvl w:val="0"/>
          <w:numId w:val="1040"/>
        </w:numPr>
      </w:pPr>
      <w:r>
        <w:t xml:space="preserve">new-lesion status,</w:t>
      </w:r>
    </w:p>
    <w:p>
      <w:pPr>
        <w:pStyle w:val="Compact"/>
        <w:numPr>
          <w:ilvl w:val="0"/>
          <w:numId w:val="1040"/>
        </w:numPr>
      </w:pPr>
      <w:r>
        <w:t xml:space="preserve">tumor-volume change,</w:t>
      </w:r>
    </w:p>
    <w:p>
      <w:pPr>
        <w:pStyle w:val="Compact"/>
        <w:numPr>
          <w:ilvl w:val="0"/>
          <w:numId w:val="1040"/>
        </w:numPr>
      </w:pPr>
      <w:r>
        <w:t xml:space="preserve">Why? explanation,</w:t>
      </w:r>
    </w:p>
    <w:p>
      <w:pPr>
        <w:pStyle w:val="Compact"/>
        <w:numPr>
          <w:ilvl w:val="0"/>
          <w:numId w:val="1040"/>
        </w:numPr>
      </w:pPr>
      <w:r>
        <w:t xml:space="preserve">physician Confirm/Override.</w:t>
      </w:r>
    </w:p>
    <w:p>
      <w:pPr>
        <w:pStyle w:val="FirstParagraph"/>
      </w:pPr>
      <w:r>
        <w:t xml:space="preserve">Do not infer RECIP solely from prose.</w:t>
      </w:r>
    </w:p>
    <w:bookmarkEnd w:id="82"/>
    <w:bookmarkEnd w:id="83"/>
    <w:bookmarkStart w:id="87" w:name="assess-phase---recist-1.1"/>
    <w:p>
      <w:pPr>
        <w:pStyle w:val="Heading1"/>
      </w:pPr>
      <w:r>
        <w:t xml:space="preserve">16. ASSESS phase - RECIST 1.1</w:t>
      </w:r>
    </w:p>
    <w:bookmarkStart w:id="84" w:name="gating-question"/>
    <w:p>
      <w:pPr>
        <w:pStyle w:val="Heading2"/>
      </w:pPr>
      <w:r>
        <w:t xml:space="preserve">16.1 Gating question</w:t>
      </w:r>
    </w:p>
    <w:p>
      <w:pPr>
        <w:pStyle w:val="FirstParagraph"/>
      </w:pPr>
      <w:r>
        <w:t xml:space="preserve">Before RECIST can be activated:</w:t>
      </w:r>
    </w:p>
    <w:p>
      <w:pPr>
        <w:pStyle w:val="BodyText"/>
      </w:pPr>
      <w:r>
        <w:rPr>
          <w:rStyle w:val="VerbatimChar"/>
        </w:rPr>
        <w:t xml:space="preserve">Is the CT acquisition suitable for formal RECIST assessment?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41"/>
        </w:numPr>
      </w:pPr>
      <w:r>
        <w:t xml:space="preserve">Yes.</w:t>
      </w:r>
    </w:p>
    <w:p>
      <w:pPr>
        <w:pStyle w:val="Compact"/>
        <w:numPr>
          <w:ilvl w:val="0"/>
          <w:numId w:val="1041"/>
        </w:numPr>
      </w:pPr>
      <w:r>
        <w:t xml:space="preserve">No.</w:t>
      </w:r>
    </w:p>
    <w:p>
      <w:pPr>
        <w:pStyle w:val="Compact"/>
        <w:numPr>
          <w:ilvl w:val="0"/>
          <w:numId w:val="1041"/>
        </w:numPr>
      </w:pPr>
      <w:r>
        <w:t xml:space="preserve">Not assessed.</w:t>
      </w:r>
    </w:p>
    <w:p>
      <w:pPr>
        <w:pStyle w:val="FirstParagraph"/>
      </w:pPr>
      <w:r>
        <w:t xml:space="preserve">If No, the report can explicitly state that formal RECIST was not applied because the CT protocol was unsuitable.</w:t>
      </w:r>
    </w:p>
    <w:bookmarkEnd w:id="84"/>
    <w:bookmarkStart w:id="85" w:name="target-lesions"/>
    <w:p>
      <w:pPr>
        <w:pStyle w:val="Heading2"/>
      </w:pPr>
      <w:r>
        <w:t xml:space="preserve">16.2 Target lesions</w:t>
      </w:r>
    </w:p>
    <w:p>
      <w:pPr>
        <w:pStyle w:val="FirstParagraph"/>
      </w:pPr>
      <w:r>
        <w:t xml:space="preserve">When activated, allow physician selection of target lesions from validated findings. Store target/non-target state separately from PSMA lesion identity.</w:t>
      </w:r>
    </w:p>
    <w:bookmarkEnd w:id="85"/>
    <w:bookmarkStart w:id="86" w:name="deterministic-calculations"/>
    <w:p>
      <w:pPr>
        <w:pStyle w:val="Heading2"/>
      </w:pPr>
      <w:r>
        <w:t xml:space="preserve">16.3 Deterministic calculations</w:t>
      </w:r>
    </w:p>
    <w:p>
      <w:pPr>
        <w:pStyle w:val="FirstParagraph"/>
      </w:pPr>
      <w:r>
        <w:t xml:space="preserve">The system calculates:</w:t>
      </w:r>
    </w:p>
    <w:p>
      <w:pPr>
        <w:pStyle w:val="Compact"/>
        <w:numPr>
          <w:ilvl w:val="0"/>
          <w:numId w:val="1042"/>
        </w:numPr>
      </w:pPr>
      <w:r>
        <w:t xml:space="preserve">sum of target-lesion diameters,</w:t>
      </w:r>
    </w:p>
    <w:p>
      <w:pPr>
        <w:pStyle w:val="Compact"/>
        <w:numPr>
          <w:ilvl w:val="0"/>
          <w:numId w:val="1042"/>
        </w:numPr>
      </w:pPr>
      <w:r>
        <w:t xml:space="preserve">baseline/nadir/current comparisons,</w:t>
      </w:r>
    </w:p>
    <w:p>
      <w:pPr>
        <w:pStyle w:val="Compact"/>
        <w:numPr>
          <w:ilvl w:val="0"/>
          <w:numId w:val="1042"/>
        </w:numPr>
      </w:pPr>
      <w:r>
        <w:t xml:space="preserve">percentage change,</w:t>
      </w:r>
    </w:p>
    <w:p>
      <w:pPr>
        <w:pStyle w:val="Compact"/>
        <w:numPr>
          <w:ilvl w:val="0"/>
          <w:numId w:val="1042"/>
        </w:numPr>
      </w:pPr>
      <w:r>
        <w:t xml:space="preserve">candidate RECIST category.</w:t>
      </w:r>
    </w:p>
    <w:p>
      <w:pPr>
        <w:pStyle w:val="FirstParagraph"/>
      </w:pPr>
      <w:r>
        <w:t xml:space="preserve">The physician confirms the final category.</w:t>
      </w:r>
    </w:p>
    <w:bookmarkEnd w:id="86"/>
    <w:bookmarkEnd w:id="87"/>
    <w:bookmarkStart w:id="94" w:name="Xcfdd1ca12a5dda7c95afb7453b62465e4653b81"/>
    <w:p>
      <w:pPr>
        <w:pStyle w:val="Heading1"/>
      </w:pPr>
      <w:r>
        <w:t xml:space="preserve">17. REPORT phase - Semi-structured report architecture</w:t>
      </w:r>
    </w:p>
    <w:bookmarkStart w:id="88" w:name="design-goal"/>
    <w:p>
      <w:pPr>
        <w:pStyle w:val="Heading2"/>
      </w:pPr>
      <w:r>
        <w:t xml:space="preserve">17.1 Design goal</w:t>
      </w:r>
    </w:p>
    <w:p>
      <w:pPr>
        <w:pStyle w:val="FirstParagraph"/>
      </w:pPr>
      <w:r>
        <w:t xml:space="preserve">The report should be readable within seconds by urologists, oncologists, radiation oncologists, and nuclear medicine/radiology colleagues while preserving machine-readable structured data underneath.</w:t>
      </w:r>
    </w:p>
    <w:bookmarkEnd w:id="88"/>
    <w:bookmarkStart w:id="89" w:name="recommended-final-section-order"/>
    <w:p>
      <w:pPr>
        <w:pStyle w:val="Heading2"/>
      </w:pPr>
      <w:r>
        <w:t xml:space="preserve">17.2 Recommended final section order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Indication / Clinical Information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Comparison Examination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Technique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Reference Activity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Findings</w:t>
      </w:r>
      <w:r>
        <w:t xml:space="preserve"> </w:t>
      </w:r>
      <w:r>
        <w:t xml:space="preserve">organized by anatomy/disease compartment.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Longitudinal Comparison / Response</w:t>
      </w:r>
      <w:r>
        <w:t xml:space="preserve"> </w:t>
      </w:r>
      <w:r>
        <w:t xml:space="preserve">when applicable.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Impression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Synoptic Summary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Key Findings / Key Images</w:t>
      </w:r>
      <w:r>
        <w:t xml:space="preserve">.</w:t>
      </w:r>
    </w:p>
    <w:bookmarkEnd w:id="89"/>
    <w:bookmarkStart w:id="90" w:name="indication-clinical-information"/>
    <w:p>
      <w:pPr>
        <w:pStyle w:val="Heading2"/>
      </w:pPr>
      <w:r>
        <w:t xml:space="preserve">17.3 Indication / Clinical information</w:t>
      </w:r>
    </w:p>
    <w:p>
      <w:pPr>
        <w:pStyle w:val="FirstParagraph"/>
      </w:pPr>
      <w:r>
        <w:t xml:space="preserve">Short prose generated from validated structured clinical context. Avoid dumping all database fields.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Biochemical recurrence after radical prostatectomy for prostate carcinoma (initial pT3a pN0, Gleason 4+4/ISUP 4). Current PSA 3.8 ng/mL, PSADT approximately 6 months. No current ADT.</w:t>
      </w:r>
    </w:p>
    <w:bookmarkEnd w:id="90"/>
    <w:bookmarkStart w:id="91" w:name="comparison-examination"/>
    <w:p>
      <w:pPr>
        <w:pStyle w:val="Heading2"/>
      </w:pPr>
      <w:r>
        <w:t xml:space="preserve">17.4 Comparison examination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Comparison: PSMA PET/CT dated 07.04.2026.</w:t>
      </w:r>
    </w:p>
    <w:p>
      <w:pPr>
        <w:pStyle w:val="BodyText"/>
      </w:pPr>
      <w:r>
        <w:t xml:space="preserve">If there are multiple relevant studies, the report may identify both baseline and immediately prior examinations.</w:t>
      </w:r>
    </w:p>
    <w:bookmarkEnd w:id="91"/>
    <w:bookmarkStart w:id="92" w:name="technique"/>
    <w:p>
      <w:pPr>
        <w:pStyle w:val="Heading2"/>
      </w:pPr>
      <w:r>
        <w:t xml:space="preserve">17.5 Technique</w:t>
      </w:r>
    </w:p>
    <w:p>
      <w:pPr>
        <w:pStyle w:val="FirstParagraph"/>
      </w:pPr>
      <w:r>
        <w:t xml:space="preserve">Prefer automatic population from DICOM/worklist data. Fields may include:</w:t>
      </w:r>
    </w:p>
    <w:p>
      <w:pPr>
        <w:pStyle w:val="Compact"/>
        <w:numPr>
          <w:ilvl w:val="0"/>
          <w:numId w:val="1044"/>
        </w:numPr>
      </w:pPr>
      <w:r>
        <w:t xml:space="preserve">tracer,</w:t>
      </w:r>
    </w:p>
    <w:p>
      <w:pPr>
        <w:pStyle w:val="Compact"/>
        <w:numPr>
          <w:ilvl w:val="0"/>
          <w:numId w:val="1044"/>
        </w:numPr>
      </w:pPr>
      <w:r>
        <w:t xml:space="preserve">injected activity,</w:t>
      </w:r>
    </w:p>
    <w:p>
      <w:pPr>
        <w:pStyle w:val="Compact"/>
        <w:numPr>
          <w:ilvl w:val="0"/>
          <w:numId w:val="1044"/>
        </w:numPr>
      </w:pPr>
      <w:r>
        <w:t xml:space="preserve">uptake time,</w:t>
      </w:r>
    </w:p>
    <w:p>
      <w:pPr>
        <w:pStyle w:val="Compact"/>
        <w:numPr>
          <w:ilvl w:val="0"/>
          <w:numId w:val="1044"/>
        </w:numPr>
      </w:pPr>
      <w:r>
        <w:t xml:space="preserve">acquisition range,</w:t>
      </w:r>
    </w:p>
    <w:p>
      <w:pPr>
        <w:pStyle w:val="Compact"/>
        <w:numPr>
          <w:ilvl w:val="0"/>
          <w:numId w:val="1044"/>
        </w:numPr>
      </w:pPr>
      <w:r>
        <w:t xml:space="preserve">PET reconstruction details when desired,</w:t>
      </w:r>
    </w:p>
    <w:p>
      <w:pPr>
        <w:pStyle w:val="Compact"/>
        <w:numPr>
          <w:ilvl w:val="0"/>
          <w:numId w:val="1044"/>
        </w:numPr>
      </w:pPr>
      <w:r>
        <w:t xml:space="preserve">CT type/protocol,</w:t>
      </w:r>
    </w:p>
    <w:p>
      <w:pPr>
        <w:pStyle w:val="Compact"/>
        <w:numPr>
          <w:ilvl w:val="0"/>
          <w:numId w:val="1044"/>
        </w:numPr>
      </w:pPr>
      <w:r>
        <w:t xml:space="preserve">IV/oral contrast,</w:t>
      </w:r>
    </w:p>
    <w:p>
      <w:pPr>
        <w:pStyle w:val="Compact"/>
        <w:numPr>
          <w:ilvl w:val="0"/>
          <w:numId w:val="1044"/>
        </w:numPr>
      </w:pPr>
      <w:r>
        <w:t xml:space="preserve">diuretic administration.</w:t>
      </w:r>
    </w:p>
    <w:p>
      <w:pPr>
        <w:pStyle w:val="FirstParagraph"/>
      </w:pPr>
      <w:r>
        <w:t xml:space="preserve">Missing values must be marked as not available rather than invented.</w:t>
      </w:r>
    </w:p>
    <w:bookmarkEnd w:id="92"/>
    <w:bookmarkStart w:id="93" w:name="reference-activity"/>
    <w:p>
      <w:pPr>
        <w:pStyle w:val="Heading2"/>
      </w:pPr>
      <w:r>
        <w:t xml:space="preserve">17.6 Reference activity</w:t>
      </w:r>
    </w:p>
    <w:p>
      <w:pPr>
        <w:pStyle w:val="FirstParagraph"/>
      </w:pPr>
      <w:r>
        <w:t xml:space="preserve">Optional compact table or sentence containing validated reference measurements:</w:t>
      </w:r>
    </w:p>
    <w:p>
      <w:pPr>
        <w:pStyle w:val="Compact"/>
        <w:numPr>
          <w:ilvl w:val="0"/>
          <w:numId w:val="1045"/>
        </w:numPr>
      </w:pPr>
      <w:r>
        <w:t xml:space="preserve">mediastinal blood pool SUVmean,</w:t>
      </w:r>
    </w:p>
    <w:p>
      <w:pPr>
        <w:pStyle w:val="Compact"/>
        <w:numPr>
          <w:ilvl w:val="0"/>
          <w:numId w:val="1045"/>
        </w:numPr>
      </w:pPr>
      <w:r>
        <w:t xml:space="preserve">liver SUVmean,</w:t>
      </w:r>
    </w:p>
    <w:p>
      <w:pPr>
        <w:pStyle w:val="Compact"/>
        <w:numPr>
          <w:ilvl w:val="0"/>
          <w:numId w:val="1045"/>
        </w:numPr>
      </w:pPr>
      <w:r>
        <w:t xml:space="preserve">parotid SUVmean.</w:t>
      </w:r>
    </w:p>
    <w:p>
      <w:pPr>
        <w:pStyle w:val="FirstParagraph"/>
      </w:pPr>
      <w:r>
        <w:t xml:space="preserve">The report generator may use these values for standardized PSMA expression categories.</w:t>
      </w:r>
    </w:p>
    <w:bookmarkEnd w:id="93"/>
    <w:bookmarkEnd w:id="94"/>
    <w:bookmarkStart w:id="98" w:name="report-phase---findings-prose"/>
    <w:p>
      <w:pPr>
        <w:pStyle w:val="Heading1"/>
      </w:pPr>
      <w:r>
        <w:t xml:space="preserve">18. REPORT phase - Findings prose</w:t>
      </w:r>
    </w:p>
    <w:bookmarkStart w:id="95" w:name="anatomical-organization"/>
    <w:p>
      <w:pPr>
        <w:pStyle w:val="Heading2"/>
      </w:pPr>
      <w:r>
        <w:t xml:space="preserve">18.1 Anatomical organization</w:t>
      </w:r>
    </w:p>
    <w:p>
      <w:pPr>
        <w:pStyle w:val="FirstParagraph"/>
      </w:pPr>
      <w:r>
        <w:t xml:space="preserve">Use consistent sections:</w:t>
      </w:r>
    </w:p>
    <w:p>
      <w:pPr>
        <w:pStyle w:val="Compact"/>
        <w:numPr>
          <w:ilvl w:val="0"/>
          <w:numId w:val="1046"/>
        </w:numPr>
      </w:pPr>
      <w:r>
        <w:t xml:space="preserve">Prostate / prostate bed.</w:t>
      </w:r>
    </w:p>
    <w:p>
      <w:pPr>
        <w:pStyle w:val="Compact"/>
        <w:numPr>
          <w:ilvl w:val="0"/>
          <w:numId w:val="1046"/>
        </w:numPr>
      </w:pPr>
      <w:r>
        <w:t xml:space="preserve">Regional pelvic lymph nodes.</w:t>
      </w:r>
    </w:p>
    <w:p>
      <w:pPr>
        <w:pStyle w:val="Compact"/>
        <w:numPr>
          <w:ilvl w:val="0"/>
          <w:numId w:val="1046"/>
        </w:numPr>
      </w:pPr>
      <w:r>
        <w:t xml:space="preserve">Extrapelvic lymph nodes.</w:t>
      </w:r>
    </w:p>
    <w:p>
      <w:pPr>
        <w:pStyle w:val="Compact"/>
        <w:numPr>
          <w:ilvl w:val="0"/>
          <w:numId w:val="1046"/>
        </w:numPr>
      </w:pPr>
      <w:r>
        <w:t xml:space="preserve">Skeleton.</w:t>
      </w:r>
    </w:p>
    <w:p>
      <w:pPr>
        <w:pStyle w:val="Compact"/>
        <w:numPr>
          <w:ilvl w:val="0"/>
          <w:numId w:val="1046"/>
        </w:numPr>
      </w:pPr>
      <w:r>
        <w:t xml:space="preserve">Visceral / other findings.</w:t>
      </w:r>
    </w:p>
    <w:bookmarkEnd w:id="95"/>
    <w:bookmarkStart w:id="96" w:name="X35ba226e82e35a657c776339b6788ea4ce14c4d"/>
    <w:p>
      <w:pPr>
        <w:pStyle w:val="Heading2"/>
      </w:pPr>
      <w:r>
        <w:t xml:space="preserve">18.2 Oligometastatic versus polymetastatic presentation</w:t>
      </w:r>
    </w:p>
    <w:p>
      <w:pPr>
        <w:pStyle w:val="FirstParagraph"/>
      </w:pPr>
      <w:r>
        <w:t xml:space="preserve">For a small number of lesions, individual lesions may be described.</w:t>
      </w:r>
    </w:p>
    <w:p>
      <w:pPr>
        <w:pStyle w:val="BodyText"/>
      </w:pPr>
      <w:r>
        <w:t xml:space="preserve">For disseminated disease, summarize at compartment level and list only representative, dominant, response-determining, or management-relevant lesions. The report should not become a 60-row lesion inventory.</w:t>
      </w:r>
    </w:p>
    <w:bookmarkEnd w:id="96"/>
    <w:bookmarkStart w:id="97" w:name="negative-statements"/>
    <w:p>
      <w:pPr>
        <w:pStyle w:val="Heading2"/>
      </w:pPr>
      <w:r>
        <w:t xml:space="preserve">18.3 Negative statements</w:t>
      </w:r>
    </w:p>
    <w:p>
      <w:pPr>
        <w:pStyle w:val="FirstParagraph"/>
      </w:pPr>
      <w:r>
        <w:t xml:space="preserve">Negative statements should be generated only when the relevant compartment has been adequately reviewed and the structured evidence supports the statement.</w:t>
      </w:r>
    </w:p>
    <w:bookmarkEnd w:id="97"/>
    <w:bookmarkEnd w:id="98"/>
    <w:bookmarkStart w:id="101" w:name="report-phase---longitudinal-comparison"/>
    <w:p>
      <w:pPr>
        <w:pStyle w:val="Heading1"/>
      </w:pPr>
      <w:r>
        <w:t xml:space="preserve">19. REPORT phase - Longitudinal comparison</w:t>
      </w:r>
    </w:p>
    <w:bookmarkStart w:id="99" w:name="dedicated-comparison-section"/>
    <w:p>
      <w:pPr>
        <w:pStyle w:val="Heading2"/>
      </w:pPr>
      <w:r>
        <w:t xml:space="preserve">19.1 Dedicated comparison section</w:t>
      </w:r>
    </w:p>
    <w:p>
      <w:pPr>
        <w:pStyle w:val="FirstParagraph"/>
      </w:pPr>
      <w:r>
        <w:t xml:space="preserve">Avoid scattering</w:t>
      </w:r>
      <w:r>
        <w:t xml:space="preserve"> </w:t>
      </w:r>
      <w:r>
        <w:rPr>
          <w:rStyle w:val="VerbatimChar"/>
        </w:rPr>
        <w:t xml:space="preserve">compared with prior</w:t>
      </w:r>
      <w:r>
        <w:t xml:space="preserve"> </w:t>
      </w:r>
      <w:r>
        <w:t xml:space="preserve">through every sentence. When meaningful, include a concise dedicated section such as:</w:t>
      </w:r>
    </w:p>
    <w:p>
      <w:pPr>
        <w:pStyle w:val="BodyText"/>
      </w:pPr>
      <w:r>
        <w:rPr>
          <w:rStyle w:val="VerbatimChar"/>
        </w:rPr>
        <w:t xml:space="preserve">Compared with 07.04.2026, there is clear metabolic and morphologic regression of the previously PSMA-positive pelvic lymph-node metastases. The left iliac bone metastasis shows a decrease in SUVmax from 12.1 to 8.7 and a 28% decrease in segmented volume. No new PSMA-positive lesions.</w:t>
      </w:r>
    </w:p>
    <w:bookmarkEnd w:id="99"/>
    <w:bookmarkStart w:id="100" w:name="quantitative-response-block"/>
    <w:p>
      <w:pPr>
        <w:pStyle w:val="Heading2"/>
      </w:pPr>
      <w:r>
        <w:t xml:space="preserve">19.2 Quantitative response block</w:t>
      </w:r>
    </w:p>
    <w:p>
      <w:pPr>
        <w:pStyle w:val="FirstParagraph"/>
      </w:pPr>
      <w:r>
        <w:t xml:space="preserve">For RLT/response cases, show a compact table rather than embedding every value in prose.</w:t>
      </w:r>
    </w:p>
    <w:bookmarkEnd w:id="100"/>
    <w:bookmarkEnd w:id="101"/>
    <w:bookmarkStart w:id="103" w:name="report-phase---impression"/>
    <w:p>
      <w:pPr>
        <w:pStyle w:val="Heading1"/>
      </w:pPr>
      <w:r>
        <w:t xml:space="preserve">20. REPORT phase - Impression</w:t>
      </w:r>
    </w:p>
    <w:bookmarkStart w:id="102" w:name="design-rule"/>
    <w:p>
      <w:pPr>
        <w:pStyle w:val="Heading2"/>
      </w:pPr>
      <w:r>
        <w:t xml:space="preserve">20.1 Design rule</w:t>
      </w:r>
    </w:p>
    <w:p>
      <w:pPr>
        <w:pStyle w:val="FirstParagraph"/>
      </w:pPr>
      <w:r>
        <w:t xml:space="preserve">The Impression is the most important section for the referrer. Keep it short: normally 3-5 numbered statements.</w:t>
      </w:r>
    </w:p>
    <w:p>
      <w:pPr>
        <w:pStyle w:val="BodyText"/>
      </w:pPr>
      <w:r>
        <w:t xml:space="preserve">Example BCR:</w:t>
      </w:r>
    </w:p>
    <w:p>
      <w:pPr>
        <w:pStyle w:val="Compact"/>
        <w:numPr>
          <w:ilvl w:val="0"/>
          <w:numId w:val="1047"/>
        </w:numPr>
      </w:pPr>
      <w:r>
        <w:t xml:space="preserve">PSMA-positive local recurrence in the prostate bed.</w:t>
      </w:r>
    </w:p>
    <w:p>
      <w:pPr>
        <w:pStyle w:val="Compact"/>
        <w:numPr>
          <w:ilvl w:val="0"/>
          <w:numId w:val="1047"/>
        </w:numPr>
      </w:pPr>
      <w:r>
        <w:t xml:space="preserve">Two PSMA-positive left external-iliac lymph-node metastases.</w:t>
      </w:r>
    </w:p>
    <w:p>
      <w:pPr>
        <w:pStyle w:val="Compact"/>
        <w:numPr>
          <w:ilvl w:val="0"/>
          <w:numId w:val="1047"/>
        </w:numPr>
      </w:pPr>
      <w:r>
        <w:t xml:space="preserve">Solitary PSMA-positive osseous metastasis in the left ilium.</w:t>
      </w:r>
    </w:p>
    <w:p>
      <w:pPr>
        <w:pStyle w:val="Compact"/>
        <w:numPr>
          <w:ilvl w:val="0"/>
          <w:numId w:val="1047"/>
        </w:numPr>
      </w:pPr>
      <w:r>
        <w:t xml:space="preserve">Molecular staging: candidate PROMISE/miTNM result, physician-confirmed.</w:t>
      </w:r>
    </w:p>
    <w:p>
      <w:pPr>
        <w:pStyle w:val="FirstParagraph"/>
      </w:pPr>
      <w:r>
        <w:t xml:space="preserve">Example post-RLT:</w:t>
      </w:r>
    </w:p>
    <w:p>
      <w:pPr>
        <w:pStyle w:val="Compact"/>
        <w:numPr>
          <w:ilvl w:val="0"/>
          <w:numId w:val="1048"/>
        </w:numPr>
      </w:pPr>
      <w:r>
        <w:t xml:space="preserve">Marked reduction of PSMA-positive tumor burden compared with pre-therapy baseline.</w:t>
      </w:r>
    </w:p>
    <w:p>
      <w:pPr>
        <w:pStyle w:val="Compact"/>
        <w:numPr>
          <w:ilvl w:val="0"/>
          <w:numId w:val="1048"/>
        </w:numPr>
      </w:pPr>
      <w:r>
        <w:t xml:space="preserve">No newly developed PSMA-positive lesions.</w:t>
      </w:r>
    </w:p>
    <w:p>
      <w:pPr>
        <w:pStyle w:val="Compact"/>
        <w:numPr>
          <w:ilvl w:val="0"/>
          <w:numId w:val="1048"/>
        </w:numPr>
      </w:pPr>
      <w:r>
        <w:t xml:space="preserve">Physician-confirmed PSMA response classification.</w:t>
      </w:r>
    </w:p>
    <w:p>
      <w:pPr>
        <w:pStyle w:val="Compact"/>
        <w:numPr>
          <w:ilvl w:val="0"/>
          <w:numId w:val="1048"/>
        </w:numPr>
      </w:pPr>
      <w:r>
        <w:t xml:space="preserve">Residual nodal and osseous PSMA-positive disease remains.</w:t>
      </w:r>
    </w:p>
    <w:bookmarkEnd w:id="102"/>
    <w:bookmarkEnd w:id="103"/>
    <w:bookmarkStart w:id="104" w:name="report-phase---synoptic-summary"/>
    <w:p>
      <w:pPr>
        <w:pStyle w:val="Heading1"/>
      </w:pPr>
      <w:r>
        <w:t xml:space="preserve">21. REPORT phase - Synoptic summary</w:t>
      </w:r>
    </w:p>
    <w:p>
      <w:pPr>
        <w:pStyle w:val="FirstParagraph"/>
      </w:pPr>
      <w:r>
        <w:t xml:space="preserve">Provide a compact structured block after the narrative impression. Example fields: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Biochemical recurrence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PROMISE/miTNM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physician-confirmed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compartments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prostate bed, pelvic nodes, 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PSMA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/ confirmed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Reader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The visible summary should remain concise. The full structured data are stored in the database/export layer.</w:t>
      </w:r>
    </w:p>
    <w:bookmarkEnd w:id="104"/>
    <w:bookmarkStart w:id="112" w:name="key-images-subsystem"/>
    <w:p>
      <w:pPr>
        <w:pStyle w:val="Heading1"/>
      </w:pPr>
      <w:r>
        <w:t xml:space="preserve">22. Key Images subsystem</w:t>
      </w:r>
    </w:p>
    <w:bookmarkStart w:id="105" w:name="rationale"/>
    <w:p>
      <w:pPr>
        <w:pStyle w:val="Heading2"/>
      </w:pPr>
      <w:r>
        <w:t xml:space="preserve">22.1 Rationale</w:t>
      </w:r>
    </w:p>
    <w:p>
      <w:pPr>
        <w:pStyle w:val="FirstParagraph"/>
      </w:pPr>
      <w:r>
        <w:t xml:space="preserve">Some referrers benefit substantially from selected screenshots of the most important findings. Key-image creation must be integrated into normal reporting and require almost no extra work.</w:t>
      </w:r>
    </w:p>
    <w:bookmarkEnd w:id="105"/>
    <w:bookmarkStart w:id="106" w:name="marking-a-key-finding"/>
    <w:p>
      <w:pPr>
        <w:pStyle w:val="Heading2"/>
      </w:pPr>
      <w:r>
        <w:t xml:space="preserve">22.2 Marking a key finding</w:t>
      </w:r>
    </w:p>
    <w:p>
      <w:pPr>
        <w:pStyle w:val="FirstParagraph"/>
      </w:pPr>
      <w:r>
        <w:t xml:space="preserve">Each clinically relevant finding has a</w:t>
      </w:r>
      <w:r>
        <w:t xml:space="preserve"> </w:t>
      </w:r>
      <w:r>
        <w:rPr>
          <w:b/>
          <w:bCs/>
        </w:rPr>
        <w:t xml:space="preserve">star / Key Image</w:t>
      </w:r>
      <w:r>
        <w:t xml:space="preserve"> </w:t>
      </w:r>
      <w:r>
        <w:t xml:space="preserve">toggle. The physician may mark it from M3 or a viewer shortcut.</w:t>
      </w:r>
    </w:p>
    <w:p>
      <w:pPr>
        <w:pStyle w:val="BodyText"/>
      </w:pPr>
      <w:r>
        <w:t xml:space="preserve">The software may suggest key findings, but the physician confirms them.</w:t>
      </w:r>
    </w:p>
    <w:p>
      <w:pPr>
        <w:pStyle w:val="BodyText"/>
      </w:pPr>
      <w:r>
        <w:t xml:space="preserve">Suggested priority logic:</w:t>
      </w:r>
    </w:p>
    <w:p>
      <w:pPr>
        <w:pStyle w:val="Compact"/>
        <w:numPr>
          <w:ilvl w:val="0"/>
          <w:numId w:val="1049"/>
        </w:numPr>
      </w:pPr>
      <w:r>
        <w:t xml:space="preserve">finding that changes M0 to M1 or otherwise changes stage,</w:t>
      </w:r>
    </w:p>
    <w:p>
      <w:pPr>
        <w:pStyle w:val="Compact"/>
        <w:numPr>
          <w:ilvl w:val="0"/>
          <w:numId w:val="1049"/>
        </w:numPr>
      </w:pPr>
      <w:r>
        <w:t xml:space="preserve">newly developed lesion,</w:t>
      </w:r>
    </w:p>
    <w:p>
      <w:pPr>
        <w:pStyle w:val="Compact"/>
        <w:numPr>
          <w:ilvl w:val="0"/>
          <w:numId w:val="1049"/>
        </w:numPr>
      </w:pPr>
      <w:r>
        <w:t xml:space="preserve">response-determining lesion,</w:t>
      </w:r>
    </w:p>
    <w:p>
      <w:pPr>
        <w:pStyle w:val="Compact"/>
        <w:numPr>
          <w:ilvl w:val="0"/>
          <w:numId w:val="1049"/>
        </w:numPr>
      </w:pPr>
      <w:r>
        <w:t xml:space="preserve">primary/local recurrence,</w:t>
      </w:r>
    </w:p>
    <w:p>
      <w:pPr>
        <w:pStyle w:val="Compact"/>
        <w:numPr>
          <w:ilvl w:val="0"/>
          <w:numId w:val="1049"/>
        </w:numPr>
      </w:pPr>
      <w:r>
        <w:t xml:space="preserve">clinically important equivocal finding,</w:t>
      </w:r>
    </w:p>
    <w:p>
      <w:pPr>
        <w:pStyle w:val="Compact"/>
        <w:numPr>
          <w:ilvl w:val="0"/>
          <w:numId w:val="1049"/>
        </w:numPr>
      </w:pPr>
      <w:r>
        <w:t xml:space="preserve">representative lesion in disseminated disease.</w:t>
      </w:r>
    </w:p>
    <w:p>
      <w:pPr>
        <w:pStyle w:val="FirstParagraph"/>
      </w:pPr>
      <w:r>
        <w:t xml:space="preserve">Default maximum suggested key findings: approximately 3-5, configurable.</w:t>
      </w:r>
    </w:p>
    <w:bookmarkEnd w:id="106"/>
    <w:bookmarkStart w:id="107" w:name="X8d4ce9f32389ff21398a8a822860fbff36ccefb"/>
    <w:p>
      <w:pPr>
        <w:pStyle w:val="Heading2"/>
      </w:pPr>
      <w:r>
        <w:t xml:space="preserve">22.3 Automatic image capture - single examination</w:t>
      </w:r>
    </w:p>
    <w:p>
      <w:pPr>
        <w:pStyle w:val="FirstParagraph"/>
      </w:pPr>
      <w:r>
        <w:t xml:space="preserve">For each selected key finding automatically generate two standardized panels:</w:t>
      </w:r>
    </w:p>
    <w:p>
      <w:pPr>
        <w:pStyle w:val="Compact"/>
        <w:numPr>
          <w:ilvl w:val="0"/>
          <w:numId w:val="1050"/>
        </w:numPr>
      </w:pPr>
      <w:r>
        <w:t xml:space="preserve">axial PET/CT fusion,</w:t>
      </w:r>
    </w:p>
    <w:p>
      <w:pPr>
        <w:pStyle w:val="Compact"/>
        <w:numPr>
          <w:ilvl w:val="0"/>
          <w:numId w:val="1050"/>
        </w:numPr>
      </w:pPr>
      <w:r>
        <w:t xml:space="preserve">coronal PET/CT fusion,</w:t>
      </w:r>
    </w:p>
    <w:p>
      <w:pPr>
        <w:pStyle w:val="FirstParagraph"/>
      </w:pPr>
      <w:r>
        <w:t xml:space="preserve">or substitute sagittal when configured/selected as more informative.</w:t>
      </w:r>
    </w:p>
    <w:p>
      <w:pPr>
        <w:pStyle w:val="BodyText"/>
      </w:pPr>
      <w:r>
        <w:t xml:space="preserve">Capture state should include:</w:t>
      </w:r>
    </w:p>
    <w:p>
      <w:pPr>
        <w:pStyle w:val="Compact"/>
        <w:numPr>
          <w:ilvl w:val="0"/>
          <w:numId w:val="1051"/>
        </w:numPr>
      </w:pPr>
      <w:r>
        <w:t xml:space="preserve">lesion-centered coordinate,</w:t>
      </w:r>
    </w:p>
    <w:p>
      <w:pPr>
        <w:pStyle w:val="Compact"/>
        <w:numPr>
          <w:ilvl w:val="0"/>
          <w:numId w:val="1051"/>
        </w:numPr>
      </w:pPr>
      <w:r>
        <w:t xml:space="preserve">same lesion contour visibility setting,</w:t>
      </w:r>
    </w:p>
    <w:p>
      <w:pPr>
        <w:pStyle w:val="Compact"/>
        <w:numPr>
          <w:ilvl w:val="0"/>
          <w:numId w:val="1051"/>
        </w:numPr>
      </w:pPr>
      <w:r>
        <w:t xml:space="preserve">physical FOV,</w:t>
      </w:r>
    </w:p>
    <w:p>
      <w:pPr>
        <w:pStyle w:val="Compact"/>
        <w:numPr>
          <w:ilvl w:val="0"/>
          <w:numId w:val="1051"/>
        </w:numPr>
      </w:pPr>
      <w:r>
        <w:t xml:space="preserve">PET scale/window,</w:t>
      </w:r>
    </w:p>
    <w:p>
      <w:pPr>
        <w:pStyle w:val="Compact"/>
        <w:numPr>
          <w:ilvl w:val="0"/>
          <w:numId w:val="1051"/>
        </w:numPr>
      </w:pPr>
      <w:r>
        <w:t xml:space="preserve">CT window,</w:t>
      </w:r>
    </w:p>
    <w:p>
      <w:pPr>
        <w:pStyle w:val="Compact"/>
        <w:numPr>
          <w:ilvl w:val="0"/>
          <w:numId w:val="1051"/>
        </w:numPr>
      </w:pPr>
      <w:r>
        <w:t xml:space="preserve">slice reference,</w:t>
      </w:r>
    </w:p>
    <w:p>
      <w:pPr>
        <w:pStyle w:val="Compact"/>
        <w:numPr>
          <w:ilvl w:val="0"/>
          <w:numId w:val="1051"/>
        </w:numPr>
      </w:pPr>
      <w:r>
        <w:t xml:space="preserve">optional arrow/marker,</w:t>
      </w:r>
    </w:p>
    <w:p>
      <w:pPr>
        <w:pStyle w:val="Compact"/>
        <w:numPr>
          <w:ilvl w:val="0"/>
          <w:numId w:val="1051"/>
        </w:numPr>
      </w:pPr>
      <w:r>
        <w:t xml:space="preserve">short caption.</w:t>
      </w:r>
    </w:p>
    <w:bookmarkEnd w:id="107"/>
    <w:bookmarkStart w:id="108" w:name="X6ad03d399c8a0afa761ff916a40877943afcb78"/>
    <w:p>
      <w:pPr>
        <w:pStyle w:val="Heading2"/>
      </w:pPr>
      <w:r>
        <w:t xml:space="preserve">22.4 Automatic image capture - longitudinal case</w:t>
      </w:r>
    </w:p>
    <w:p>
      <w:pPr>
        <w:pStyle w:val="FirstParagraph"/>
      </w:pPr>
      <w:r>
        <w:t xml:space="preserve">For a comparison finding, generate a four-panel composite:</w:t>
      </w:r>
    </w:p>
    <w:p>
      <w:pPr>
        <w:pStyle w:val="Compact"/>
        <w:numPr>
          <w:ilvl w:val="0"/>
          <w:numId w:val="1052"/>
        </w:numPr>
      </w:pPr>
      <w:r>
        <w:t xml:space="preserve">prior axial,</w:t>
      </w:r>
    </w:p>
    <w:p>
      <w:pPr>
        <w:pStyle w:val="Compact"/>
        <w:numPr>
          <w:ilvl w:val="0"/>
          <w:numId w:val="1052"/>
        </w:numPr>
      </w:pPr>
      <w:r>
        <w:t xml:space="preserve">current axial,</w:t>
      </w:r>
    </w:p>
    <w:p>
      <w:pPr>
        <w:pStyle w:val="Compact"/>
        <w:numPr>
          <w:ilvl w:val="0"/>
          <w:numId w:val="1052"/>
        </w:numPr>
      </w:pPr>
      <w:r>
        <w:t xml:space="preserve">prior coronal,</w:t>
      </w:r>
    </w:p>
    <w:p>
      <w:pPr>
        <w:pStyle w:val="Compact"/>
        <w:numPr>
          <w:ilvl w:val="0"/>
          <w:numId w:val="1052"/>
        </w:numPr>
      </w:pPr>
      <w:r>
        <w:t xml:space="preserve">current coronal.</w:t>
      </w:r>
    </w:p>
    <w:p>
      <w:pPr>
        <w:pStyle w:val="FirstParagraph"/>
      </w:pPr>
      <w:r>
        <w:t xml:space="preserve">Use the same registered center, physical FOV, and PET scale where appropriate. Clearly label dates and Current/Prior.</w:t>
      </w:r>
    </w:p>
    <w:bookmarkEnd w:id="108"/>
    <w:bookmarkStart w:id="109" w:name="captions"/>
    <w:p>
      <w:pPr>
        <w:pStyle w:val="Heading2"/>
      </w:pPr>
      <w:r>
        <w:t xml:space="preserve">22.5 Captions</w:t>
      </w:r>
    </w:p>
    <w:p>
      <w:pPr>
        <w:pStyle w:val="FirstParagraph"/>
      </w:pPr>
      <w:r>
        <w:t xml:space="preserve">Captions are generated from structured data and physician interpretation, for example:</w:t>
      </w:r>
    </w:p>
    <w:p>
      <w:pPr>
        <w:pStyle w:val="BodyText"/>
      </w:pPr>
      <w:r>
        <w:rPr>
          <w:rStyle w:val="VerbatimChar"/>
        </w:rPr>
        <w:t xml:space="preserve">Fig. 2. PSMA-positive metastasis in the left ilium, current SUVmax 8.7, with clear regression compared with the prior examination.</w:t>
      </w:r>
    </w:p>
    <w:p>
      <w:pPr>
        <w:pStyle w:val="BodyText"/>
      </w:pPr>
      <w:r>
        <w:t xml:space="preserve">The physician may edit the caption.</w:t>
      </w:r>
    </w:p>
    <w:bookmarkEnd w:id="109"/>
    <w:bookmarkStart w:id="110" w:name="data-provenance-for-screenshots"/>
    <w:p>
      <w:pPr>
        <w:pStyle w:val="Heading2"/>
      </w:pPr>
      <w:r>
        <w:t xml:space="preserve">22.6 Data provenance for screenshots</w:t>
      </w:r>
    </w:p>
    <w:p>
      <w:pPr>
        <w:pStyle w:val="FirstParagraph"/>
      </w:pPr>
      <w:r>
        <w:t xml:space="preserve">Store source references for every image:</w:t>
      </w:r>
    </w:p>
    <w:p>
      <w:pPr>
        <w:pStyle w:val="Compact"/>
        <w:numPr>
          <w:ilvl w:val="0"/>
          <w:numId w:val="1053"/>
        </w:numPr>
      </w:pPr>
      <w:r>
        <w:t xml:space="preserve">study/series/SOP identifiers,</w:t>
      </w:r>
    </w:p>
    <w:p>
      <w:pPr>
        <w:pStyle w:val="Compact"/>
        <w:numPr>
          <w:ilvl w:val="0"/>
          <w:numId w:val="1053"/>
        </w:numPr>
      </w:pPr>
      <w:r>
        <w:t xml:space="preserve">slice or reconstructed plane definition,</w:t>
      </w:r>
    </w:p>
    <w:p>
      <w:pPr>
        <w:pStyle w:val="Compact"/>
        <w:numPr>
          <w:ilvl w:val="0"/>
          <w:numId w:val="1053"/>
        </w:numPr>
      </w:pPr>
      <w:r>
        <w:t xml:space="preserve">viewer coordinate/FOV,</w:t>
      </w:r>
    </w:p>
    <w:p>
      <w:pPr>
        <w:pStyle w:val="Compact"/>
        <w:numPr>
          <w:ilvl w:val="0"/>
          <w:numId w:val="1053"/>
        </w:numPr>
      </w:pPr>
      <w:r>
        <w:t xml:space="preserve">PET and CT display settings,</w:t>
      </w:r>
    </w:p>
    <w:p>
      <w:pPr>
        <w:pStyle w:val="Compact"/>
        <w:numPr>
          <w:ilvl w:val="0"/>
          <w:numId w:val="1053"/>
        </w:numPr>
      </w:pPr>
      <w:r>
        <w:t xml:space="preserve">segmentation/annotation version,</w:t>
      </w:r>
    </w:p>
    <w:p>
      <w:pPr>
        <w:pStyle w:val="Compact"/>
        <w:numPr>
          <w:ilvl w:val="0"/>
          <w:numId w:val="1053"/>
        </w:numPr>
      </w:pPr>
      <w:r>
        <w:t xml:space="preserve">current/prior timepoint IDs.</w:t>
      </w:r>
    </w:p>
    <w:p>
      <w:pPr>
        <w:pStyle w:val="FirstParagraph"/>
      </w:pPr>
      <w:r>
        <w:t xml:space="preserve">The screenshot is communication output; it must remain traceable to source imaging.</w:t>
      </w:r>
    </w:p>
    <w:bookmarkEnd w:id="110"/>
    <w:bookmarkStart w:id="111" w:name="export"/>
    <w:p>
      <w:pPr>
        <w:pStyle w:val="Heading2"/>
      </w:pPr>
      <w:r>
        <w:t xml:space="preserve">22.7 Export</w:t>
      </w:r>
    </w:p>
    <w:p>
      <w:pPr>
        <w:pStyle w:val="FirstParagraph"/>
      </w:pPr>
      <w:r>
        <w:t xml:space="preserve">At minimum support embedding in the final Word/PDF report. Optional future integration may support PACS-compatible key objects/secondary-capture workflows depending on institutional infrastructure.</w:t>
      </w:r>
    </w:p>
    <w:bookmarkEnd w:id="111"/>
    <w:bookmarkEnd w:id="112"/>
    <w:bookmarkStart w:id="116" w:name="report-composer-ui"/>
    <w:p>
      <w:pPr>
        <w:pStyle w:val="Heading1"/>
      </w:pPr>
      <w:r>
        <w:t xml:space="preserve">23. Report Composer UI</w:t>
      </w:r>
    </w:p>
    <w:bookmarkStart w:id="113" w:name="entering-report-phase"/>
    <w:p>
      <w:pPr>
        <w:pStyle w:val="Heading2"/>
      </w:pPr>
      <w:r>
        <w:t xml:space="preserve">23.1 Entering REPORT phase</w:t>
      </w:r>
    </w:p>
    <w:p>
      <w:pPr>
        <w:pStyle w:val="FirstParagraph"/>
      </w:pPr>
      <w:r>
        <w:t xml:space="preserve">The report should not occupy significant M3 space during active image reading. Enter the full Report Composer only after READ/ASSESS is substantially complete.</w:t>
      </w:r>
    </w:p>
    <w:bookmarkEnd w:id="113"/>
    <w:bookmarkStart w:id="114" w:name="layout"/>
    <w:p>
      <w:pPr>
        <w:pStyle w:val="Heading2"/>
      </w:pPr>
      <w:r>
        <w:t xml:space="preserve">23.2 Layout</w:t>
      </w:r>
    </w:p>
    <w:p>
      <w:pPr>
        <w:pStyle w:val="FirstParagraph"/>
      </w:pPr>
      <w:r>
        <w:t xml:space="preserve">Recommended landscape support-monitor layout:</w:t>
      </w:r>
    </w:p>
    <w:p>
      <w:pPr>
        <w:pStyle w:val="Compact"/>
        <w:numPr>
          <w:ilvl w:val="0"/>
          <w:numId w:val="1054"/>
        </w:numPr>
      </w:pPr>
      <w:r>
        <w:t xml:space="preserve">Left column: report section navigator and validation status.</w:t>
      </w:r>
    </w:p>
    <w:p>
      <w:pPr>
        <w:pStyle w:val="Compact"/>
        <w:numPr>
          <w:ilvl w:val="0"/>
          <w:numId w:val="1054"/>
        </w:numPr>
      </w:pPr>
      <w:r>
        <w:t xml:space="preserve">Center: editable report draft.</w:t>
      </w:r>
    </w:p>
    <w:p>
      <w:pPr>
        <w:pStyle w:val="Compact"/>
        <w:numPr>
          <w:ilvl w:val="0"/>
          <w:numId w:val="1054"/>
        </w:numPr>
      </w:pPr>
      <w:r>
        <w:t xml:space="preserve">Right column: structured summary, conflicts, staging/response confirmation, key-image thumbnails.</w:t>
      </w:r>
    </w:p>
    <w:p>
      <w:pPr>
        <w:pStyle w:val="Compact"/>
        <w:numPr>
          <w:ilvl w:val="0"/>
          <w:numId w:val="1054"/>
        </w:numPr>
      </w:pPr>
      <w:r>
        <w:t xml:space="preserve">Bottom toolbar: Dictate, Regenerate selected section, Compare prior, Validate, Export/Sign.</w:t>
      </w:r>
    </w:p>
    <w:bookmarkEnd w:id="114"/>
    <w:bookmarkStart w:id="115" w:name="regeneration-granularity"/>
    <w:p>
      <w:pPr>
        <w:pStyle w:val="Heading2"/>
      </w:pPr>
      <w:r>
        <w:t xml:space="preserve">23.3 Regeneration granularity</w:t>
      </w:r>
    </w:p>
    <w:p>
      <w:pPr>
        <w:pStyle w:val="FirstParagraph"/>
      </w:pPr>
      <w:r>
        <w:t xml:space="preserve">Do not regenerate the entire report for every edit. Support section-level regeneration:</w:t>
      </w:r>
    </w:p>
    <w:p>
      <w:pPr>
        <w:pStyle w:val="Compact"/>
        <w:numPr>
          <w:ilvl w:val="0"/>
          <w:numId w:val="1055"/>
        </w:numPr>
      </w:pPr>
      <w:r>
        <w:t xml:space="preserve">History.</w:t>
      </w:r>
    </w:p>
    <w:p>
      <w:pPr>
        <w:pStyle w:val="Compact"/>
        <w:numPr>
          <w:ilvl w:val="0"/>
          <w:numId w:val="1055"/>
        </w:numPr>
      </w:pPr>
      <w:r>
        <w:t xml:space="preserve">Findings subsection.</w:t>
      </w:r>
    </w:p>
    <w:p>
      <w:pPr>
        <w:pStyle w:val="Compact"/>
        <w:numPr>
          <w:ilvl w:val="0"/>
          <w:numId w:val="1055"/>
        </w:numPr>
      </w:pPr>
      <w:r>
        <w:t xml:space="preserve">Comparison.</w:t>
      </w:r>
    </w:p>
    <w:p>
      <w:pPr>
        <w:pStyle w:val="Compact"/>
        <w:numPr>
          <w:ilvl w:val="0"/>
          <w:numId w:val="1055"/>
        </w:numPr>
      </w:pPr>
      <w:r>
        <w:t xml:space="preserve">Impression.</w:t>
      </w:r>
    </w:p>
    <w:p>
      <w:pPr>
        <w:pStyle w:val="FirstParagraph"/>
      </w:pPr>
      <w:r>
        <w:t xml:space="preserve">Physician manual edits should not be silently overwritten.</w:t>
      </w:r>
    </w:p>
    <w:bookmarkEnd w:id="115"/>
    <w:bookmarkEnd w:id="116"/>
    <w:bookmarkStart w:id="119" w:name="conflict-checker"/>
    <w:p>
      <w:pPr>
        <w:pStyle w:val="Heading1"/>
      </w:pPr>
      <w:r>
        <w:t xml:space="preserve">24. Conflict checker</w:t>
      </w:r>
    </w:p>
    <w:bookmarkStart w:id="117" w:name="mandatory-pre-sign-validation"/>
    <w:p>
      <w:pPr>
        <w:pStyle w:val="Heading2"/>
      </w:pPr>
      <w:r>
        <w:t xml:space="preserve">24.1 Mandatory pre-sign validation</w:t>
      </w:r>
    </w:p>
    <w:p>
      <w:pPr>
        <w:pStyle w:val="FirstParagraph"/>
      </w:pPr>
      <w:r>
        <w:t xml:space="preserve">Before sign-off, compare the report draft against structured data and rule-engine outputs.</w:t>
      </w:r>
    </w:p>
    <w:p>
      <w:pPr>
        <w:pStyle w:val="BodyText"/>
      </w:pPr>
      <w:r>
        <w:t xml:space="preserve">Flag at least:</w:t>
      </w:r>
    </w:p>
    <w:p>
      <w:pPr>
        <w:pStyle w:val="Compact"/>
        <w:numPr>
          <w:ilvl w:val="0"/>
          <w:numId w:val="1056"/>
        </w:numPr>
      </w:pPr>
      <w:r>
        <w:t xml:space="preserve">report says no bone metastasis while validated bone lesion exists,</w:t>
      </w:r>
    </w:p>
    <w:p>
      <w:pPr>
        <w:pStyle w:val="Compact"/>
        <w:numPr>
          <w:ilvl w:val="0"/>
          <w:numId w:val="1056"/>
        </w:numPr>
      </w:pPr>
      <w:r>
        <w:t xml:space="preserve">miM1b lesion exists but report states M0,</w:t>
      </w:r>
    </w:p>
    <w:p>
      <w:pPr>
        <w:pStyle w:val="Compact"/>
        <w:numPr>
          <w:ilvl w:val="0"/>
          <w:numId w:val="1056"/>
        </w:numPr>
      </w:pPr>
      <w:r>
        <w:t xml:space="preserve">new lesion exists while report says no new lesions,</w:t>
      </w:r>
    </w:p>
    <w:p>
      <w:pPr>
        <w:pStyle w:val="Compact"/>
        <w:numPr>
          <w:ilvl w:val="0"/>
          <w:numId w:val="1056"/>
        </w:numPr>
      </w:pPr>
      <w:r>
        <w:t xml:space="preserve">left/right inconsistency,</w:t>
      </w:r>
    </w:p>
    <w:p>
      <w:pPr>
        <w:pStyle w:val="Compact"/>
        <w:numPr>
          <w:ilvl w:val="0"/>
          <w:numId w:val="1056"/>
        </w:numPr>
      </w:pPr>
      <w:r>
        <w:t xml:space="preserve">current numerical value differs from database value,</w:t>
      </w:r>
    </w:p>
    <w:p>
      <w:pPr>
        <w:pStyle w:val="Compact"/>
        <w:numPr>
          <w:ilvl w:val="0"/>
          <w:numId w:val="1056"/>
        </w:numPr>
      </w:pPr>
      <w:r>
        <w:t xml:space="preserve">resolved lesion copied from prior report as still present,</w:t>
      </w:r>
    </w:p>
    <w:p>
      <w:pPr>
        <w:pStyle w:val="Compact"/>
        <w:numPr>
          <w:ilvl w:val="0"/>
          <w:numId w:val="1056"/>
        </w:numPr>
      </w:pPr>
      <w:r>
        <w:t xml:space="preserve">response category inconsistent with deterministic response inputs,</w:t>
      </w:r>
    </w:p>
    <w:p>
      <w:pPr>
        <w:pStyle w:val="Compact"/>
        <w:numPr>
          <w:ilvl w:val="0"/>
          <w:numId w:val="1056"/>
        </w:numPr>
      </w:pPr>
      <w:r>
        <w:t xml:space="preserve">RECIST target measurement missing,</w:t>
      </w:r>
    </w:p>
    <w:p>
      <w:pPr>
        <w:pStyle w:val="Compact"/>
        <w:numPr>
          <w:ilvl w:val="0"/>
          <w:numId w:val="1056"/>
        </w:numPr>
      </w:pPr>
      <w:r>
        <w:t xml:space="preserve">baseline/previous dates inconsistent,</w:t>
      </w:r>
    </w:p>
    <w:p>
      <w:pPr>
        <w:pStyle w:val="Compact"/>
        <w:numPr>
          <w:ilvl w:val="0"/>
          <w:numId w:val="1056"/>
        </w:numPr>
      </w:pPr>
      <w:r>
        <w:t xml:space="preserve">tracer mismatch,</w:t>
      </w:r>
    </w:p>
    <w:p>
      <w:pPr>
        <w:pStyle w:val="Compact"/>
        <w:numPr>
          <w:ilvl w:val="0"/>
          <w:numId w:val="1056"/>
        </w:numPr>
      </w:pPr>
      <w:r>
        <w:t xml:space="preserve">unreviewed critical finding remains.</w:t>
      </w:r>
    </w:p>
    <w:bookmarkEnd w:id="117"/>
    <w:bookmarkStart w:id="118" w:name="severity-levels"/>
    <w:p>
      <w:pPr>
        <w:pStyle w:val="Heading2"/>
      </w:pPr>
      <w:r>
        <w:t xml:space="preserve">24.2 Severity levels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- cannot sign until resolved.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Warning</w:t>
      </w:r>
      <w:r>
        <w:t xml:space="preserve"> </w:t>
      </w:r>
      <w:r>
        <w:t xml:space="preserve">- physician may sign after acknowledgement.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Informational</w:t>
      </w:r>
      <w:r>
        <w:t xml:space="preserve"> </w:t>
      </w:r>
      <w:r>
        <w:t xml:space="preserve">- no action required.</w:t>
      </w:r>
    </w:p>
    <w:bookmarkEnd w:id="118"/>
    <w:bookmarkEnd w:id="119"/>
    <w:bookmarkStart w:id="127" w:name="state-model-and-workflow-transitions"/>
    <w:p>
      <w:pPr>
        <w:pStyle w:val="Heading1"/>
      </w:pPr>
      <w:r>
        <w:t xml:space="preserve">25. State model and workflow transitions</w:t>
      </w:r>
    </w:p>
    <w:bookmarkStart w:id="120" w:name="high-level-states"/>
    <w:p>
      <w:pPr>
        <w:pStyle w:val="Heading2"/>
      </w:pPr>
      <w:r>
        <w:t xml:space="preserve">25.1 High-level states</w:t>
      </w:r>
    </w:p>
    <w:p>
      <w:pPr>
        <w:pStyle w:val="FirstParagraph"/>
      </w:pPr>
      <w:r>
        <w:rPr>
          <w:rStyle w:val="VerbatimChar"/>
        </w:rPr>
        <w:t xml:space="preserve">CASE_SETUP -&gt; READ -&gt; ASSESS -&gt; REPORT_DRAFT -&gt; VALIDATION -&gt; SIGNED</w:t>
      </w:r>
    </w:p>
    <w:p>
      <w:pPr>
        <w:pStyle w:val="BodyText"/>
      </w:pPr>
      <w:r>
        <w:t xml:space="preserve">Optional transitions allow returning to earlier phases without data loss.</w:t>
      </w:r>
    </w:p>
    <w:bookmarkEnd w:id="120"/>
    <w:bookmarkStart w:id="121" w:name="case-setup"/>
    <w:p>
      <w:pPr>
        <w:pStyle w:val="Heading2"/>
      </w:pPr>
      <w:r>
        <w:t xml:space="preserve">25.2 Case setup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58"/>
        </w:numPr>
      </w:pPr>
      <w:r>
        <w:t xml:space="preserve">load current examination,</w:t>
      </w:r>
    </w:p>
    <w:p>
      <w:pPr>
        <w:pStyle w:val="Compact"/>
        <w:numPr>
          <w:ilvl w:val="0"/>
          <w:numId w:val="1058"/>
        </w:numPr>
      </w:pPr>
      <w:r>
        <w:t xml:space="preserve">detect available priors,</w:t>
      </w:r>
    </w:p>
    <w:p>
      <w:pPr>
        <w:pStyle w:val="Compact"/>
        <w:numPr>
          <w:ilvl w:val="0"/>
          <w:numId w:val="1058"/>
        </w:numPr>
      </w:pPr>
      <w:r>
        <w:t xml:space="preserve">select/confirm workflow profile,</w:t>
      </w:r>
    </w:p>
    <w:p>
      <w:pPr>
        <w:pStyle w:val="Compact"/>
        <w:numPr>
          <w:ilvl w:val="0"/>
          <w:numId w:val="1058"/>
        </w:numPr>
      </w:pPr>
      <w:r>
        <w:t xml:space="preserve">load imported clinical data,</w:t>
      </w:r>
    </w:p>
    <w:p>
      <w:pPr>
        <w:pStyle w:val="Compact"/>
        <w:numPr>
          <w:ilvl w:val="0"/>
          <w:numId w:val="1058"/>
        </w:numPr>
      </w:pPr>
      <w:r>
        <w:t xml:space="preserve">initialize segmentation/lesion/registration services.</w:t>
      </w:r>
    </w:p>
    <w:p>
      <w:pPr>
        <w:pStyle w:val="FirstParagraph"/>
      </w:pPr>
      <w:r>
        <w:t xml:space="preserve">Exit condition: images ready and case profile known.</w:t>
      </w:r>
    </w:p>
    <w:bookmarkEnd w:id="121"/>
    <w:bookmarkStart w:id="122" w:name="read"/>
    <w:p>
      <w:pPr>
        <w:pStyle w:val="Heading2"/>
      </w:pPr>
      <w:r>
        <w:t xml:space="preserve">25.3 READ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59"/>
        </w:numPr>
      </w:pPr>
      <w:r>
        <w:t xml:space="preserve">history dictation/confirmation,</w:t>
      </w:r>
    </w:p>
    <w:p>
      <w:pPr>
        <w:pStyle w:val="Compact"/>
        <w:numPr>
          <w:ilvl w:val="0"/>
          <w:numId w:val="1059"/>
        </w:numPr>
      </w:pPr>
      <w:r>
        <w:t xml:space="preserve">prior report review,</w:t>
      </w:r>
    </w:p>
    <w:p>
      <w:pPr>
        <w:pStyle w:val="Compact"/>
        <w:numPr>
          <w:ilvl w:val="0"/>
          <w:numId w:val="1059"/>
        </w:numPr>
      </w:pPr>
      <w:r>
        <w:t xml:space="preserve">current imaging review,</w:t>
      </w:r>
    </w:p>
    <w:p>
      <w:pPr>
        <w:pStyle w:val="Compact"/>
        <w:numPr>
          <w:ilvl w:val="0"/>
          <w:numId w:val="1059"/>
        </w:numPr>
      </w:pPr>
      <w:r>
        <w:t xml:space="preserve">relevant-finding queue,</w:t>
      </w:r>
    </w:p>
    <w:p>
      <w:pPr>
        <w:pStyle w:val="Compact"/>
        <w:numPr>
          <w:ilvl w:val="0"/>
          <w:numId w:val="1059"/>
        </w:numPr>
      </w:pPr>
      <w:r>
        <w:t xml:space="preserve">selective segmentation correction,</w:t>
      </w:r>
    </w:p>
    <w:p>
      <w:pPr>
        <w:pStyle w:val="Compact"/>
        <w:numPr>
          <w:ilvl w:val="0"/>
          <w:numId w:val="1059"/>
        </w:numPr>
      </w:pPr>
      <w:r>
        <w:t xml:space="preserve">new lesion creation,</w:t>
      </w:r>
    </w:p>
    <w:p>
      <w:pPr>
        <w:pStyle w:val="Compact"/>
        <w:numPr>
          <w:ilvl w:val="0"/>
          <w:numId w:val="1059"/>
        </w:numPr>
      </w:pPr>
      <w:r>
        <w:t xml:space="preserve">finding dictation,</w:t>
      </w:r>
    </w:p>
    <w:p>
      <w:pPr>
        <w:pStyle w:val="Compact"/>
        <w:numPr>
          <w:ilvl w:val="0"/>
          <w:numId w:val="1059"/>
        </w:numPr>
      </w:pPr>
      <w:r>
        <w:t xml:space="preserve">key-image marking.</w:t>
      </w:r>
    </w:p>
    <w:p>
      <w:pPr>
        <w:pStyle w:val="FirstParagraph"/>
      </w:pPr>
      <w:r>
        <w:t xml:space="preserve">Exit condition: all critical findings reviewed or explicitly deferred.</w:t>
      </w:r>
    </w:p>
    <w:bookmarkEnd w:id="122"/>
    <w:bookmarkStart w:id="123" w:name="assess"/>
    <w:p>
      <w:pPr>
        <w:pStyle w:val="Heading2"/>
      </w:pPr>
      <w:r>
        <w:t xml:space="preserve">25.4 ASSESS</w:t>
      </w:r>
    </w:p>
    <w:p>
      <w:pPr>
        <w:pStyle w:val="FirstParagraph"/>
      </w:pPr>
      <w:r>
        <w:t xml:space="preserve">Actions depend on profile:</w:t>
      </w:r>
    </w:p>
    <w:p>
      <w:pPr>
        <w:pStyle w:val="Compact"/>
        <w:numPr>
          <w:ilvl w:val="0"/>
          <w:numId w:val="1060"/>
        </w:numPr>
      </w:pPr>
      <w:r>
        <w:t xml:space="preserve">PROMISE/miTNM,</w:t>
      </w:r>
    </w:p>
    <w:p>
      <w:pPr>
        <w:pStyle w:val="Compact"/>
        <w:numPr>
          <w:ilvl w:val="0"/>
          <w:numId w:val="1060"/>
        </w:numPr>
      </w:pPr>
      <w:r>
        <w:t xml:space="preserve">BCR compartment summary,</w:t>
      </w:r>
    </w:p>
    <w:p>
      <w:pPr>
        <w:pStyle w:val="Compact"/>
        <w:numPr>
          <w:ilvl w:val="0"/>
          <w:numId w:val="1060"/>
        </w:numPr>
      </w:pPr>
      <w:r>
        <w:t xml:space="preserve">pre-RLT baseline quantitative summary,</w:t>
      </w:r>
    </w:p>
    <w:p>
      <w:pPr>
        <w:pStyle w:val="Compact"/>
        <w:numPr>
          <w:ilvl w:val="0"/>
          <w:numId w:val="1060"/>
        </w:numPr>
      </w:pPr>
      <w:r>
        <w:t xml:space="preserve">RECIP candidate,</w:t>
      </w:r>
    </w:p>
    <w:p>
      <w:pPr>
        <w:pStyle w:val="Compact"/>
        <w:numPr>
          <w:ilvl w:val="0"/>
          <w:numId w:val="1060"/>
        </w:numPr>
      </w:pPr>
      <w:r>
        <w:t xml:space="preserve">optional RECIST.</w:t>
      </w:r>
    </w:p>
    <w:p>
      <w:pPr>
        <w:pStyle w:val="FirstParagraph"/>
      </w:pPr>
      <w:r>
        <w:t xml:space="preserve">Exit condition: required derived classifications confirmed/overridden.</w:t>
      </w:r>
    </w:p>
    <w:bookmarkEnd w:id="123"/>
    <w:bookmarkStart w:id="124" w:name="report_draft"/>
    <w:p>
      <w:pPr>
        <w:pStyle w:val="Heading2"/>
      </w:pPr>
      <w:r>
        <w:t xml:space="preserve">25.5 REPORT_DRAFT</w:t>
      </w:r>
    </w:p>
    <w:p>
      <w:pPr>
        <w:pStyle w:val="FirstParagraph"/>
      </w:pPr>
      <w:r>
        <w:t xml:space="preserve">Generate semi-structured report from structured data, prior report context, and physician dictation.</w:t>
      </w:r>
    </w:p>
    <w:bookmarkEnd w:id="124"/>
    <w:bookmarkStart w:id="125" w:name="validation"/>
    <w:p>
      <w:pPr>
        <w:pStyle w:val="Heading2"/>
      </w:pPr>
      <w:r>
        <w:t xml:space="preserve">25.6 VALIDATION</w:t>
      </w:r>
    </w:p>
    <w:p>
      <w:pPr>
        <w:pStyle w:val="FirstParagraph"/>
      </w:pPr>
      <w:r>
        <w:t xml:space="preserve">Run conflict checker, verify missing fields, verify key images, physician edits.</w:t>
      </w:r>
    </w:p>
    <w:bookmarkEnd w:id="125"/>
    <w:bookmarkStart w:id="126" w:name="signed"/>
    <w:p>
      <w:pPr>
        <w:pStyle w:val="Heading2"/>
      </w:pPr>
      <w:r>
        <w:t xml:space="preserve">25.7 SIGNED</w:t>
      </w:r>
    </w:p>
    <w:p>
      <w:pPr>
        <w:pStyle w:val="FirstParagraph"/>
      </w:pPr>
      <w:r>
        <w:t xml:space="preserve">Lock signed report version and preserve provenance. Later amendments create a new version rather than silently overwriting the signed report.</w:t>
      </w:r>
    </w:p>
    <w:bookmarkEnd w:id="126"/>
    <w:bookmarkEnd w:id="127"/>
    <w:bookmarkStart w:id="133" w:name="data-model"/>
    <w:p>
      <w:pPr>
        <w:pStyle w:val="Heading1"/>
      </w:pPr>
      <w:r>
        <w:t xml:space="preserve">26. Data model</w:t>
      </w:r>
    </w:p>
    <w:bookmarkStart w:id="128" w:name="core-entities"/>
    <w:p>
      <w:pPr>
        <w:pStyle w:val="Heading2"/>
      </w:pPr>
      <w:r>
        <w:t xml:space="preserve">26.1 Core entities</w:t>
      </w:r>
    </w:p>
    <w:p>
      <w:pPr>
        <w:pStyle w:val="FirstParagraph"/>
      </w:pPr>
      <w:r>
        <w:t xml:space="preserve">Suggested entities:</w:t>
      </w:r>
    </w:p>
    <w:p>
      <w:pPr>
        <w:pStyle w:val="Compact"/>
        <w:numPr>
          <w:ilvl w:val="0"/>
          <w:numId w:val="1061"/>
        </w:numPr>
      </w:pPr>
      <w:r>
        <w:t xml:space="preserve">Patient/Case.</w:t>
      </w:r>
    </w:p>
    <w:p>
      <w:pPr>
        <w:pStyle w:val="Compact"/>
        <w:numPr>
          <w:ilvl w:val="0"/>
          <w:numId w:val="1061"/>
        </w:numPr>
      </w:pPr>
      <w:r>
        <w:t xml:space="preserve">Examination/Timepoint.</w:t>
      </w:r>
    </w:p>
    <w:p>
      <w:pPr>
        <w:pStyle w:val="Compact"/>
        <w:numPr>
          <w:ilvl w:val="0"/>
          <w:numId w:val="1061"/>
        </w:numPr>
      </w:pPr>
      <w:r>
        <w:t xml:space="preserve">LesionTrack.</w:t>
      </w:r>
    </w:p>
    <w:p>
      <w:pPr>
        <w:pStyle w:val="Compact"/>
        <w:numPr>
          <w:ilvl w:val="0"/>
          <w:numId w:val="1061"/>
        </w:numPr>
      </w:pPr>
      <w:r>
        <w:t xml:space="preserve">LesionObservation.</w:t>
      </w:r>
    </w:p>
    <w:p>
      <w:pPr>
        <w:pStyle w:val="Compact"/>
        <w:numPr>
          <w:ilvl w:val="0"/>
          <w:numId w:val="1061"/>
        </w:numPr>
      </w:pPr>
      <w:r>
        <w:t xml:space="preserve">SegmentationVersion.</w:t>
      </w:r>
    </w:p>
    <w:p>
      <w:pPr>
        <w:pStyle w:val="Compact"/>
        <w:numPr>
          <w:ilvl w:val="0"/>
          <w:numId w:val="1061"/>
        </w:numPr>
      </w:pPr>
      <w:r>
        <w:t xml:space="preserve">MeasurementSet.</w:t>
      </w:r>
    </w:p>
    <w:p>
      <w:pPr>
        <w:pStyle w:val="Compact"/>
        <w:numPr>
          <w:ilvl w:val="0"/>
          <w:numId w:val="1061"/>
        </w:numPr>
      </w:pPr>
      <w:r>
        <w:t xml:space="preserve">AnatomicalClassification.</w:t>
      </w:r>
    </w:p>
    <w:p>
      <w:pPr>
        <w:pStyle w:val="Compact"/>
        <w:numPr>
          <w:ilvl w:val="0"/>
          <w:numId w:val="1061"/>
        </w:numPr>
      </w:pPr>
      <w:r>
        <w:t xml:space="preserve">ClinicalContext.</w:t>
      </w:r>
    </w:p>
    <w:p>
      <w:pPr>
        <w:pStyle w:val="Compact"/>
        <w:numPr>
          <w:ilvl w:val="0"/>
          <w:numId w:val="1061"/>
        </w:numPr>
      </w:pPr>
      <w:r>
        <w:t xml:space="preserve">PriorReport.</w:t>
      </w:r>
    </w:p>
    <w:p>
      <w:pPr>
        <w:pStyle w:val="Compact"/>
        <w:numPr>
          <w:ilvl w:val="0"/>
          <w:numId w:val="1061"/>
        </w:numPr>
      </w:pPr>
      <w:r>
        <w:t xml:space="preserve">FindingStatement.</w:t>
      </w:r>
    </w:p>
    <w:p>
      <w:pPr>
        <w:pStyle w:val="Compact"/>
        <w:numPr>
          <w:ilvl w:val="0"/>
          <w:numId w:val="1061"/>
        </w:numPr>
      </w:pPr>
      <w:r>
        <w:t xml:space="preserve">StagingAssessment.</w:t>
      </w:r>
    </w:p>
    <w:p>
      <w:pPr>
        <w:pStyle w:val="Compact"/>
        <w:numPr>
          <w:ilvl w:val="0"/>
          <w:numId w:val="1061"/>
        </w:numPr>
      </w:pPr>
      <w:r>
        <w:t xml:space="preserve">ResponseAssessment.</w:t>
      </w:r>
    </w:p>
    <w:p>
      <w:pPr>
        <w:pStyle w:val="Compact"/>
        <w:numPr>
          <w:ilvl w:val="0"/>
          <w:numId w:val="1061"/>
        </w:numPr>
      </w:pPr>
      <w:r>
        <w:t xml:space="preserve">DictationRecord.</w:t>
      </w:r>
    </w:p>
    <w:p>
      <w:pPr>
        <w:pStyle w:val="Compact"/>
        <w:numPr>
          <w:ilvl w:val="0"/>
          <w:numId w:val="1061"/>
        </w:numPr>
      </w:pPr>
      <w:r>
        <w:t xml:space="preserve">ReportDraft/ReportVersion.</w:t>
      </w:r>
    </w:p>
    <w:p>
      <w:pPr>
        <w:pStyle w:val="Compact"/>
        <w:numPr>
          <w:ilvl w:val="0"/>
          <w:numId w:val="1061"/>
        </w:numPr>
      </w:pPr>
      <w:r>
        <w:t xml:space="preserve">KeyImage.</w:t>
      </w:r>
    </w:p>
    <w:p>
      <w:pPr>
        <w:pStyle w:val="Compact"/>
        <w:numPr>
          <w:ilvl w:val="0"/>
          <w:numId w:val="1061"/>
        </w:numPr>
      </w:pPr>
      <w:r>
        <w:t xml:space="preserve">ValidationIssue.</w:t>
      </w:r>
    </w:p>
    <w:p>
      <w:pPr>
        <w:pStyle w:val="Compact"/>
        <w:numPr>
          <w:ilvl w:val="0"/>
          <w:numId w:val="1061"/>
        </w:numPr>
      </w:pPr>
      <w:r>
        <w:t xml:space="preserve">AuditEvent.</w:t>
      </w:r>
    </w:p>
    <w:bookmarkEnd w:id="128"/>
    <w:bookmarkStart w:id="129" w:name="lesiontrack"/>
    <w:p>
      <w:pPr>
        <w:pStyle w:val="Heading2"/>
      </w:pPr>
      <w:r>
        <w:t xml:space="preserve">26.2 LesionTrack</w:t>
      </w:r>
    </w:p>
    <w:p>
      <w:pPr>
        <w:pStyle w:val="FirstParagraph"/>
      </w:pPr>
      <w:r>
        <w:t xml:space="preserve">Minimum fields:</w:t>
      </w:r>
    </w:p>
    <w:p>
      <w:pPr>
        <w:pStyle w:val="Compact"/>
        <w:numPr>
          <w:ilvl w:val="0"/>
          <w:numId w:val="1062"/>
        </w:numPr>
      </w:pPr>
      <w:r>
        <w:t xml:space="preserve">track_id,</w:t>
      </w:r>
    </w:p>
    <w:p>
      <w:pPr>
        <w:pStyle w:val="Compact"/>
        <w:numPr>
          <w:ilvl w:val="0"/>
          <w:numId w:val="1062"/>
        </w:numPr>
      </w:pPr>
      <w:r>
        <w:t xml:space="preserve">patient_id,</w:t>
      </w:r>
    </w:p>
    <w:p>
      <w:pPr>
        <w:pStyle w:val="Compact"/>
        <w:numPr>
          <w:ilvl w:val="0"/>
          <w:numId w:val="1062"/>
        </w:numPr>
      </w:pPr>
      <w:r>
        <w:t xml:space="preserve">canonical lesion type,</w:t>
      </w:r>
    </w:p>
    <w:p>
      <w:pPr>
        <w:pStyle w:val="Compact"/>
        <w:numPr>
          <w:ilvl w:val="0"/>
          <w:numId w:val="1062"/>
        </w:numPr>
      </w:pPr>
      <w:r>
        <w:t xml:space="preserve">canonical anatomy/laterality,</w:t>
      </w:r>
    </w:p>
    <w:p>
      <w:pPr>
        <w:pStyle w:val="Compact"/>
        <w:numPr>
          <w:ilvl w:val="0"/>
          <w:numId w:val="1062"/>
        </w:numPr>
      </w:pPr>
      <w:r>
        <w:t xml:space="preserve">created_from timepoint,</w:t>
      </w:r>
    </w:p>
    <w:p>
      <w:pPr>
        <w:pStyle w:val="Compact"/>
        <w:numPr>
          <w:ilvl w:val="0"/>
          <w:numId w:val="1062"/>
        </w:numPr>
      </w:pPr>
      <w:r>
        <w:t xml:space="preserve">active/inactive state,</w:t>
      </w:r>
    </w:p>
    <w:p>
      <w:pPr>
        <w:pStyle w:val="Compact"/>
        <w:numPr>
          <w:ilvl w:val="0"/>
          <w:numId w:val="1062"/>
        </w:numPr>
      </w:pPr>
      <w:r>
        <w:t xml:space="preserve">linked observations.</w:t>
      </w:r>
    </w:p>
    <w:bookmarkEnd w:id="129"/>
    <w:bookmarkStart w:id="130" w:name="lesionobservation"/>
    <w:p>
      <w:pPr>
        <w:pStyle w:val="Heading2"/>
      </w:pPr>
      <w:r>
        <w:t xml:space="preserve">26.3 LesionObservation</w:t>
      </w:r>
    </w:p>
    <w:p>
      <w:pPr>
        <w:pStyle w:val="FirstParagraph"/>
      </w:pPr>
      <w:r>
        <w:t xml:space="preserve">Minimum fields:</w:t>
      </w:r>
    </w:p>
    <w:p>
      <w:pPr>
        <w:pStyle w:val="Compact"/>
        <w:numPr>
          <w:ilvl w:val="0"/>
          <w:numId w:val="1063"/>
        </w:numPr>
      </w:pPr>
      <w:r>
        <w:t xml:space="preserve">observation_id,</w:t>
      </w:r>
    </w:p>
    <w:p>
      <w:pPr>
        <w:pStyle w:val="Compact"/>
        <w:numPr>
          <w:ilvl w:val="0"/>
          <w:numId w:val="1063"/>
        </w:numPr>
      </w:pPr>
      <w:r>
        <w:t xml:space="preserve">track_id,</w:t>
      </w:r>
    </w:p>
    <w:p>
      <w:pPr>
        <w:pStyle w:val="Compact"/>
        <w:numPr>
          <w:ilvl w:val="0"/>
          <w:numId w:val="1063"/>
        </w:numPr>
      </w:pPr>
      <w:r>
        <w:t xml:space="preserve">timepoint_id,</w:t>
      </w:r>
    </w:p>
    <w:p>
      <w:pPr>
        <w:pStyle w:val="Compact"/>
        <w:numPr>
          <w:ilvl w:val="0"/>
          <w:numId w:val="1063"/>
        </w:numPr>
      </w:pPr>
      <w:r>
        <w:t xml:space="preserve">current mask version,</w:t>
      </w:r>
    </w:p>
    <w:p>
      <w:pPr>
        <w:pStyle w:val="Compact"/>
        <w:numPr>
          <w:ilvl w:val="0"/>
          <w:numId w:val="1063"/>
        </w:numPr>
      </w:pPr>
      <w:r>
        <w:t xml:space="preserve">AI mask reference,</w:t>
      </w:r>
    </w:p>
    <w:p>
      <w:pPr>
        <w:pStyle w:val="Compact"/>
        <w:numPr>
          <w:ilvl w:val="0"/>
          <w:numId w:val="1063"/>
        </w:numPr>
      </w:pPr>
      <w:r>
        <w:t xml:space="preserve">physician validation state,</w:t>
      </w:r>
    </w:p>
    <w:p>
      <w:pPr>
        <w:pStyle w:val="Compact"/>
        <w:numPr>
          <w:ilvl w:val="0"/>
          <w:numId w:val="1063"/>
        </w:numPr>
      </w:pPr>
      <w:r>
        <w:t xml:space="preserve">size/volume,</w:t>
      </w:r>
    </w:p>
    <w:p>
      <w:pPr>
        <w:pStyle w:val="Compact"/>
        <w:numPr>
          <w:ilvl w:val="0"/>
          <w:numId w:val="1063"/>
        </w:numPr>
      </w:pPr>
      <w:r>
        <w:t xml:space="preserve">SUVmax/SUVmean/SUVpeak if available,</w:t>
      </w:r>
    </w:p>
    <w:p>
      <w:pPr>
        <w:pStyle w:val="Compact"/>
        <w:numPr>
          <w:ilvl w:val="0"/>
          <w:numId w:val="1063"/>
        </w:numPr>
      </w:pPr>
      <w:r>
        <w:t xml:space="preserve">CT correlate,</w:t>
      </w:r>
    </w:p>
    <w:p>
      <w:pPr>
        <w:pStyle w:val="Compact"/>
        <w:numPr>
          <w:ilvl w:val="0"/>
          <w:numId w:val="1063"/>
        </w:numPr>
      </w:pPr>
      <w:r>
        <w:t xml:space="preserve">PSMA expression category,</w:t>
      </w:r>
    </w:p>
    <w:p>
      <w:pPr>
        <w:pStyle w:val="Compact"/>
        <w:numPr>
          <w:ilvl w:val="0"/>
          <w:numId w:val="1063"/>
        </w:numPr>
      </w:pPr>
      <w:r>
        <w:t xml:space="preserve">confidence,</w:t>
      </w:r>
    </w:p>
    <w:p>
      <w:pPr>
        <w:pStyle w:val="Compact"/>
        <w:numPr>
          <w:ilvl w:val="0"/>
          <w:numId w:val="1063"/>
        </w:numPr>
      </w:pPr>
      <w:r>
        <w:t xml:space="preserve">clinical relevance flags,</w:t>
      </w:r>
    </w:p>
    <w:p>
      <w:pPr>
        <w:pStyle w:val="Compact"/>
        <w:numPr>
          <w:ilvl w:val="0"/>
          <w:numId w:val="1063"/>
        </w:numPr>
      </w:pPr>
      <w:r>
        <w:t xml:space="preserve">staging contribution,</w:t>
      </w:r>
    </w:p>
    <w:p>
      <w:pPr>
        <w:pStyle w:val="Compact"/>
        <w:numPr>
          <w:ilvl w:val="0"/>
          <w:numId w:val="1063"/>
        </w:numPr>
      </w:pPr>
      <w:r>
        <w:t xml:space="preserve">response contribution,</w:t>
      </w:r>
    </w:p>
    <w:p>
      <w:pPr>
        <w:pStyle w:val="Compact"/>
        <w:numPr>
          <w:ilvl w:val="0"/>
          <w:numId w:val="1063"/>
        </w:numPr>
      </w:pPr>
      <w:r>
        <w:t xml:space="preserve">key-image flag,</w:t>
      </w:r>
    </w:p>
    <w:p>
      <w:pPr>
        <w:pStyle w:val="Compact"/>
        <w:numPr>
          <w:ilvl w:val="0"/>
          <w:numId w:val="1063"/>
        </w:numPr>
      </w:pPr>
      <w:r>
        <w:t xml:space="preserve">registration quality.</w:t>
      </w:r>
    </w:p>
    <w:bookmarkEnd w:id="130"/>
    <w:bookmarkStart w:id="131" w:name="clinicalcontext"/>
    <w:p>
      <w:pPr>
        <w:pStyle w:val="Heading2"/>
      </w:pPr>
      <w:r>
        <w:t xml:space="preserve">26.4 ClinicalContext</w:t>
      </w:r>
    </w:p>
    <w:p>
      <w:pPr>
        <w:pStyle w:val="FirstParagraph"/>
      </w:pPr>
      <w:r>
        <w:t xml:space="preserve">Store each field with value + source + confirmation status.</w:t>
      </w:r>
    </w:p>
    <w:bookmarkEnd w:id="131"/>
    <w:bookmarkStart w:id="132" w:name="reportversion"/>
    <w:p>
      <w:pPr>
        <w:pStyle w:val="Heading2"/>
      </w:pPr>
      <w:r>
        <w:t xml:space="preserve">26.5 ReportVersion</w:t>
      </w:r>
    </w:p>
    <w:p>
      <w:pPr>
        <w:pStyle w:val="FirstParagraph"/>
      </w:pPr>
      <w:r>
        <w:t xml:space="preserve">Minimum fields:</w:t>
      </w:r>
    </w:p>
    <w:p>
      <w:pPr>
        <w:pStyle w:val="Compact"/>
        <w:numPr>
          <w:ilvl w:val="0"/>
          <w:numId w:val="1064"/>
        </w:numPr>
      </w:pPr>
      <w:r>
        <w:t xml:space="preserve">report_version_id,</w:t>
      </w:r>
    </w:p>
    <w:p>
      <w:pPr>
        <w:pStyle w:val="Compact"/>
        <w:numPr>
          <w:ilvl w:val="0"/>
          <w:numId w:val="1064"/>
        </w:numPr>
      </w:pPr>
      <w:r>
        <w:t xml:space="preserve">case_id,</w:t>
      </w:r>
    </w:p>
    <w:p>
      <w:pPr>
        <w:pStyle w:val="Compact"/>
        <w:numPr>
          <w:ilvl w:val="0"/>
          <w:numId w:val="1064"/>
        </w:numPr>
      </w:pPr>
      <w:r>
        <w:t xml:space="preserve">status draft/final/signed/amended,</w:t>
      </w:r>
    </w:p>
    <w:p>
      <w:pPr>
        <w:pStyle w:val="Compact"/>
        <w:numPr>
          <w:ilvl w:val="0"/>
          <w:numId w:val="1064"/>
        </w:numPr>
      </w:pPr>
      <w:r>
        <w:t xml:space="preserve">generated_at,</w:t>
      </w:r>
    </w:p>
    <w:p>
      <w:pPr>
        <w:pStyle w:val="Compact"/>
        <w:numPr>
          <w:ilvl w:val="0"/>
          <w:numId w:val="1064"/>
        </w:numPr>
      </w:pPr>
      <w:r>
        <w:t xml:space="preserve">generator/model version,</w:t>
      </w:r>
    </w:p>
    <w:p>
      <w:pPr>
        <w:pStyle w:val="Compact"/>
        <w:numPr>
          <w:ilvl w:val="0"/>
          <w:numId w:val="1064"/>
        </w:numPr>
      </w:pPr>
      <w:r>
        <w:t xml:space="preserve">source structured-data snapshot/hash,</w:t>
      </w:r>
    </w:p>
    <w:p>
      <w:pPr>
        <w:pStyle w:val="Compact"/>
        <w:numPr>
          <w:ilvl w:val="0"/>
          <w:numId w:val="1064"/>
        </w:numPr>
      </w:pPr>
      <w:r>
        <w:t xml:space="preserve">physician edits,</w:t>
      </w:r>
    </w:p>
    <w:p>
      <w:pPr>
        <w:pStyle w:val="Compact"/>
        <w:numPr>
          <w:ilvl w:val="0"/>
          <w:numId w:val="1064"/>
        </w:numPr>
      </w:pPr>
      <w:r>
        <w:t xml:space="preserve">final text,</w:t>
      </w:r>
    </w:p>
    <w:p>
      <w:pPr>
        <w:pStyle w:val="Compact"/>
        <w:numPr>
          <w:ilvl w:val="0"/>
          <w:numId w:val="1064"/>
        </w:numPr>
      </w:pPr>
      <w:r>
        <w:t xml:space="preserve">linked key images,</w:t>
      </w:r>
    </w:p>
    <w:p>
      <w:pPr>
        <w:pStyle w:val="Compact"/>
        <w:numPr>
          <w:ilvl w:val="0"/>
          <w:numId w:val="1064"/>
        </w:numPr>
      </w:pPr>
      <w:r>
        <w:t xml:space="preserve">validation results,</w:t>
      </w:r>
    </w:p>
    <w:p>
      <w:pPr>
        <w:pStyle w:val="Compact"/>
        <w:numPr>
          <w:ilvl w:val="0"/>
          <w:numId w:val="1064"/>
        </w:numPr>
      </w:pPr>
      <w:r>
        <w:t xml:space="preserve">signed_at/user.</w:t>
      </w:r>
    </w:p>
    <w:bookmarkEnd w:id="132"/>
    <w:bookmarkEnd w:id="133"/>
    <w:bookmarkStart w:id="134" w:name="event-driven-architecture"/>
    <w:p>
      <w:pPr>
        <w:pStyle w:val="Heading1"/>
      </w:pPr>
      <w:r>
        <w:t xml:space="preserve">27. Event-driven architecture</w:t>
      </w:r>
    </w:p>
    <w:p>
      <w:pPr>
        <w:pStyle w:val="FirstParagraph"/>
      </w:pPr>
      <w:r>
        <w:t xml:space="preserve">Recommended UI events: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CASE_LOADED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WORKFLOW_PROFILE_CHANGED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FINDING_SELECTED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LESION_VALIDATED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LESION_CORRECTED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NEW_LESION_CREATED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REFERENCE_EXAM_CHANGED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DICTATION_STARTED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DICTATION_PARSED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STAGING_RECALCULATED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RESPONSE_RECALCULATED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KEY_IMAGE_TOGGLED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REPORT_SECTION_GENERATED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VALIDATION_RUN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REPORT_SIGNED</w:t>
      </w:r>
    </w:p>
    <w:p>
      <w:pPr>
        <w:pStyle w:val="FirstParagraph"/>
      </w:pPr>
      <w:r>
        <w:t xml:space="preserve">Viewer windows should subscribe to events rather than directly depending on report UI code.</w:t>
      </w:r>
    </w:p>
    <w:bookmarkEnd w:id="134"/>
    <w:bookmarkStart w:id="135" w:name="keyboard-and-mouse-shortcuts"/>
    <w:p>
      <w:pPr>
        <w:pStyle w:val="Heading1"/>
      </w:pPr>
      <w:r>
        <w:t xml:space="preserve">28. Keyboard and mouse shortcuts</w:t>
      </w:r>
    </w:p>
    <w:p>
      <w:pPr>
        <w:pStyle w:val="FirstParagraph"/>
      </w:pPr>
      <w:r>
        <w:t xml:space="preserve">Maintain consistency with Scientific Mode.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current finding/segmentation when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false-positive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Edit/correct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current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Start/stop finding dictation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relevant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/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Previous/next examination or configured reference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with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with previous examination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Flicker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hide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Generate/update report draft or selected section, depending on context</w:t>
            </w:r>
          </w:p>
        </w:tc>
      </w:tr>
    </w:tbl>
    <w:p>
      <w:pPr>
        <w:pStyle w:val="BodyText"/>
      </w:pPr>
      <w:r>
        <w:t xml:space="preserve">Final sign-off should require an explicit protected action, not a single accidental keystroke.</w:t>
      </w:r>
    </w:p>
    <w:bookmarkEnd w:id="135"/>
    <w:bookmarkStart w:id="139" w:name="Xc9223981d58d28053ebbabec51aa56ee3465521"/>
    <w:p>
      <w:pPr>
        <w:pStyle w:val="Heading1"/>
      </w:pPr>
      <w:r>
        <w:t xml:space="preserve">29. Deterministic services versus LLM services</w:t>
      </w:r>
    </w:p>
    <w:bookmarkStart w:id="136" w:name="deterministic-services"/>
    <w:p>
      <w:pPr>
        <w:pStyle w:val="Heading2"/>
      </w:pPr>
      <w:r>
        <w:t xml:space="preserve">29.1 Deterministic services</w:t>
      </w:r>
    </w:p>
    <w:p>
      <w:pPr>
        <w:pStyle w:val="FirstParagraph"/>
      </w:pPr>
      <w:r>
        <w:t xml:space="preserve">Implement as normal tested code:</w:t>
      </w:r>
    </w:p>
    <w:p>
      <w:pPr>
        <w:pStyle w:val="Compact"/>
        <w:numPr>
          <w:ilvl w:val="0"/>
          <w:numId w:val="1066"/>
        </w:numPr>
      </w:pPr>
      <w:r>
        <w:t xml:space="preserve">DICOM metadata extraction,</w:t>
      </w:r>
    </w:p>
    <w:p>
      <w:pPr>
        <w:pStyle w:val="Compact"/>
        <w:numPr>
          <w:ilvl w:val="0"/>
          <w:numId w:val="1066"/>
        </w:numPr>
      </w:pPr>
      <w:r>
        <w:t xml:space="preserve">SUV computation/display values,</w:t>
      </w:r>
    </w:p>
    <w:p>
      <w:pPr>
        <w:pStyle w:val="Compact"/>
        <w:numPr>
          <w:ilvl w:val="0"/>
          <w:numId w:val="1066"/>
        </w:numPr>
      </w:pPr>
      <w:r>
        <w:t xml:space="preserve">lesion measurements,</w:t>
      </w:r>
    </w:p>
    <w:p>
      <w:pPr>
        <w:pStyle w:val="Compact"/>
        <w:numPr>
          <w:ilvl w:val="0"/>
          <w:numId w:val="1066"/>
        </w:numPr>
      </w:pPr>
      <w:r>
        <w:t xml:space="preserve">TMTV,</w:t>
      </w:r>
    </w:p>
    <w:p>
      <w:pPr>
        <w:pStyle w:val="Compact"/>
        <w:numPr>
          <w:ilvl w:val="0"/>
          <w:numId w:val="1066"/>
        </w:numPr>
      </w:pPr>
      <w:r>
        <w:t xml:space="preserve">lesion counts,</w:t>
      </w:r>
    </w:p>
    <w:p>
      <w:pPr>
        <w:pStyle w:val="Compact"/>
        <w:numPr>
          <w:ilvl w:val="0"/>
          <w:numId w:val="1066"/>
        </w:numPr>
      </w:pPr>
      <w:r>
        <w:t xml:space="preserve">longitudinal deltas,</w:t>
      </w:r>
    </w:p>
    <w:p>
      <w:pPr>
        <w:pStyle w:val="Compact"/>
        <w:numPr>
          <w:ilvl w:val="0"/>
          <w:numId w:val="1066"/>
        </w:numPr>
      </w:pPr>
      <w:r>
        <w:t xml:space="preserve">registration transforms,</w:t>
      </w:r>
    </w:p>
    <w:p>
      <w:pPr>
        <w:pStyle w:val="Compact"/>
        <w:numPr>
          <w:ilvl w:val="0"/>
          <w:numId w:val="1066"/>
        </w:numPr>
      </w:pPr>
      <w:r>
        <w:t xml:space="preserve">lesion matching identifiers,</w:t>
      </w:r>
    </w:p>
    <w:p>
      <w:pPr>
        <w:pStyle w:val="Compact"/>
        <w:numPr>
          <w:ilvl w:val="0"/>
          <w:numId w:val="1066"/>
        </w:numPr>
      </w:pPr>
      <w:r>
        <w:t xml:space="preserve">PROMISE/miTNM rules,</w:t>
      </w:r>
    </w:p>
    <w:p>
      <w:pPr>
        <w:pStyle w:val="Compact"/>
        <w:numPr>
          <w:ilvl w:val="0"/>
          <w:numId w:val="1066"/>
        </w:numPr>
      </w:pPr>
      <w:r>
        <w:t xml:space="preserve">RECIP rules,</w:t>
      </w:r>
    </w:p>
    <w:p>
      <w:pPr>
        <w:pStyle w:val="Compact"/>
        <w:numPr>
          <w:ilvl w:val="0"/>
          <w:numId w:val="1066"/>
        </w:numPr>
      </w:pPr>
      <w:r>
        <w:t xml:space="preserve">RECIST calculations,</w:t>
      </w:r>
    </w:p>
    <w:p>
      <w:pPr>
        <w:pStyle w:val="Compact"/>
        <w:numPr>
          <w:ilvl w:val="0"/>
          <w:numId w:val="1066"/>
        </w:numPr>
      </w:pPr>
      <w:r>
        <w:t xml:space="preserve">key-image viewer state capture,</w:t>
      </w:r>
    </w:p>
    <w:p>
      <w:pPr>
        <w:pStyle w:val="Compact"/>
        <w:numPr>
          <w:ilvl w:val="0"/>
          <w:numId w:val="1066"/>
        </w:numPr>
      </w:pPr>
      <w:r>
        <w:t xml:space="preserve">conflict checks based on structured facts.</w:t>
      </w:r>
    </w:p>
    <w:bookmarkEnd w:id="136"/>
    <w:bookmarkStart w:id="137" w:name="llm-services"/>
    <w:p>
      <w:pPr>
        <w:pStyle w:val="Heading2"/>
      </w:pPr>
      <w:r>
        <w:t xml:space="preserve">29.2 LLM services</w:t>
      </w:r>
    </w:p>
    <w:p>
      <w:pPr>
        <w:pStyle w:val="FirstParagraph"/>
      </w:pPr>
      <w:r>
        <w:t xml:space="preserve">Permitted tasks:</w:t>
      </w:r>
    </w:p>
    <w:p>
      <w:pPr>
        <w:pStyle w:val="Compact"/>
        <w:numPr>
          <w:ilvl w:val="0"/>
          <w:numId w:val="1067"/>
        </w:numPr>
      </w:pPr>
      <w:r>
        <w:t xml:space="preserve">parse history dictation into candidate structured fields,</w:t>
      </w:r>
    </w:p>
    <w:p>
      <w:pPr>
        <w:pStyle w:val="Compact"/>
        <w:numPr>
          <w:ilvl w:val="0"/>
          <w:numId w:val="1067"/>
        </w:numPr>
      </w:pPr>
      <w:r>
        <w:t xml:space="preserve">parse prior report into candidate statements,</w:t>
      </w:r>
    </w:p>
    <w:p>
      <w:pPr>
        <w:pStyle w:val="Compact"/>
        <w:numPr>
          <w:ilvl w:val="0"/>
          <w:numId w:val="1067"/>
        </w:numPr>
      </w:pPr>
      <w:r>
        <w:t xml:space="preserve">map dictated finding language to selected finding IDs,</w:t>
      </w:r>
    </w:p>
    <w:p>
      <w:pPr>
        <w:pStyle w:val="Compact"/>
        <w:numPr>
          <w:ilvl w:val="0"/>
          <w:numId w:val="1067"/>
        </w:numPr>
      </w:pPr>
      <w:r>
        <w:t xml:space="preserve">rewrite validated facts into professional German/English report prose,</w:t>
      </w:r>
    </w:p>
    <w:p>
      <w:pPr>
        <w:pStyle w:val="Compact"/>
        <w:numPr>
          <w:ilvl w:val="0"/>
          <w:numId w:val="1067"/>
        </w:numPr>
      </w:pPr>
      <w:r>
        <w:t xml:space="preserve">summarize changes,</w:t>
      </w:r>
    </w:p>
    <w:p>
      <w:pPr>
        <w:pStyle w:val="Compact"/>
        <w:numPr>
          <w:ilvl w:val="0"/>
          <w:numId w:val="1067"/>
        </w:numPr>
      </w:pPr>
      <w:r>
        <w:t xml:space="preserve">create concise impression wording,</w:t>
      </w:r>
    </w:p>
    <w:p>
      <w:pPr>
        <w:pStyle w:val="Compact"/>
        <w:numPr>
          <w:ilvl w:val="0"/>
          <w:numId w:val="1067"/>
        </w:numPr>
      </w:pPr>
      <w:r>
        <w:t xml:space="preserve">propose captions,</w:t>
      </w:r>
    </w:p>
    <w:p>
      <w:pPr>
        <w:pStyle w:val="Compact"/>
        <w:numPr>
          <w:ilvl w:val="0"/>
          <w:numId w:val="1067"/>
        </w:numPr>
      </w:pPr>
      <w:r>
        <w:t xml:space="preserve">identify possible prose conflicts for deterministic validation.</w:t>
      </w:r>
    </w:p>
    <w:bookmarkEnd w:id="137"/>
    <w:bookmarkStart w:id="138" w:name="llm-guardrails"/>
    <w:p>
      <w:pPr>
        <w:pStyle w:val="Heading2"/>
      </w:pPr>
      <w:r>
        <w:t xml:space="preserve">29.3 LLM guardrails</w:t>
      </w:r>
    </w:p>
    <w:p>
      <w:pPr>
        <w:pStyle w:val="FirstParagraph"/>
      </w:pPr>
      <w:r>
        <w:t xml:space="preserve">Every generation call should receive a</w:t>
      </w:r>
      <w:r>
        <w:t xml:space="preserve"> </w:t>
      </w:r>
      <w:r>
        <w:rPr>
          <w:b/>
          <w:bCs/>
        </w:rPr>
        <w:t xml:space="preserve">fact package</w:t>
      </w:r>
      <w:r>
        <w:t xml:space="preserve"> </w:t>
      </w:r>
      <w:r>
        <w:t xml:space="preserve">rather than raw access to the whole application state. The prompt must explicitly instruct the model:</w:t>
      </w:r>
    </w:p>
    <w:p>
      <w:pPr>
        <w:pStyle w:val="Compact"/>
        <w:numPr>
          <w:ilvl w:val="0"/>
          <w:numId w:val="1068"/>
        </w:numPr>
      </w:pPr>
      <w:r>
        <w:t xml:space="preserve">use only supplied facts,</w:t>
      </w:r>
    </w:p>
    <w:p>
      <w:pPr>
        <w:pStyle w:val="Compact"/>
        <w:numPr>
          <w:ilvl w:val="0"/>
          <w:numId w:val="1068"/>
        </w:numPr>
      </w:pPr>
      <w:r>
        <w:t xml:space="preserve">never invent missing values,</w:t>
      </w:r>
    </w:p>
    <w:p>
      <w:pPr>
        <w:pStyle w:val="Compact"/>
        <w:numPr>
          <w:ilvl w:val="0"/>
          <w:numId w:val="1068"/>
        </w:numPr>
      </w:pPr>
      <w:r>
        <w:t xml:space="preserve">preserve laterality and dates exactly,</w:t>
      </w:r>
    </w:p>
    <w:p>
      <w:pPr>
        <w:pStyle w:val="Compact"/>
        <w:numPr>
          <w:ilvl w:val="0"/>
          <w:numId w:val="1068"/>
        </w:numPr>
      </w:pPr>
      <w:r>
        <w:t xml:space="preserve">do not calculate medical classifications unless the deterministic result is supplied,</w:t>
      </w:r>
    </w:p>
    <w:p>
      <w:pPr>
        <w:pStyle w:val="Compact"/>
        <w:numPr>
          <w:ilvl w:val="0"/>
          <w:numId w:val="1068"/>
        </w:numPr>
      </w:pPr>
      <w:r>
        <w:t xml:space="preserve">mark unknown facts as unknown/omit them,</w:t>
      </w:r>
    </w:p>
    <w:p>
      <w:pPr>
        <w:pStyle w:val="Compact"/>
        <w:numPr>
          <w:ilvl w:val="0"/>
          <w:numId w:val="1068"/>
        </w:numPr>
      </w:pPr>
      <w:r>
        <w:t xml:space="preserve">output structured JSON when the next pipeline step is machine parsing.</w:t>
      </w:r>
    </w:p>
    <w:bookmarkEnd w:id="138"/>
    <w:bookmarkEnd w:id="139"/>
    <w:bookmarkStart w:id="144" w:name="suggested-gemini-pro-integration-pattern"/>
    <w:p>
      <w:pPr>
        <w:pStyle w:val="Heading1"/>
      </w:pPr>
      <w:r>
        <w:t xml:space="preserve">30. Suggested Gemini Pro integration pattern</w:t>
      </w:r>
    </w:p>
    <w:bookmarkStart w:id="140" w:name="general-rule"/>
    <w:p>
      <w:pPr>
        <w:pStyle w:val="Heading2"/>
      </w:pPr>
      <w:r>
        <w:t xml:space="preserve">30.1 General rule</w:t>
      </w:r>
    </w:p>
    <w:p>
      <w:pPr>
        <w:pStyle w:val="FirstParagraph"/>
      </w:pPr>
      <w:r>
        <w:t xml:space="preserve">Use Gemini Pro as a coding/refactoring assistant and as a bounded text-generation service. Do not ask it to perform a blind monolithic rewrite of the complete application.</w:t>
      </w:r>
    </w:p>
    <w:bookmarkEnd w:id="140"/>
    <w:bookmarkStart w:id="141" w:name="recommended-coding-workflow"/>
    <w:p>
      <w:pPr>
        <w:pStyle w:val="Heading2"/>
      </w:pPr>
      <w:r>
        <w:t xml:space="preserve">30.2 Recommended coding workflow</w:t>
      </w:r>
    </w:p>
    <w:p>
      <w:pPr>
        <w:pStyle w:val="Compact"/>
        <w:numPr>
          <w:ilvl w:val="0"/>
          <w:numId w:val="1069"/>
        </w:numPr>
      </w:pPr>
      <w:r>
        <w:t xml:space="preserve">Freeze current behavior with tests/screenshots where possible.</w:t>
      </w:r>
    </w:p>
    <w:p>
      <w:pPr>
        <w:pStyle w:val="Compact"/>
        <w:numPr>
          <w:ilvl w:val="0"/>
          <w:numId w:val="1069"/>
        </w:numPr>
      </w:pPr>
      <w:r>
        <w:t xml:space="preserve">Identify one module to refactor.</w:t>
      </w:r>
    </w:p>
    <w:p>
      <w:pPr>
        <w:pStyle w:val="Compact"/>
        <w:numPr>
          <w:ilvl w:val="0"/>
          <w:numId w:val="1069"/>
        </w:numPr>
      </w:pPr>
      <w:r>
        <w:t xml:space="preserve">Provide Gemini the current module, interfaces, this specification, and tests.</w:t>
      </w:r>
    </w:p>
    <w:p>
      <w:pPr>
        <w:pStyle w:val="Compact"/>
        <w:numPr>
          <w:ilvl w:val="0"/>
          <w:numId w:val="1069"/>
        </w:numPr>
      </w:pPr>
      <w:r>
        <w:t xml:space="preserve">Ask for a change plan before code.</w:t>
      </w:r>
    </w:p>
    <w:p>
      <w:pPr>
        <w:pStyle w:val="Compact"/>
        <w:numPr>
          <w:ilvl w:val="0"/>
          <w:numId w:val="1069"/>
        </w:numPr>
      </w:pPr>
      <w:r>
        <w:t xml:space="preserve">Require compatibility constraints.</w:t>
      </w:r>
    </w:p>
    <w:p>
      <w:pPr>
        <w:pStyle w:val="Compact"/>
        <w:numPr>
          <w:ilvl w:val="0"/>
          <w:numId w:val="1069"/>
        </w:numPr>
      </w:pPr>
      <w:r>
        <w:t xml:space="preserve">Apply changes in small commits.</w:t>
      </w:r>
    </w:p>
    <w:p>
      <w:pPr>
        <w:pStyle w:val="Compact"/>
        <w:numPr>
          <w:ilvl w:val="0"/>
          <w:numId w:val="1069"/>
        </w:numPr>
      </w:pPr>
      <w:r>
        <w:t xml:space="preserve">Run automated tests and manual imaging QA.</w:t>
      </w:r>
    </w:p>
    <w:p>
      <w:pPr>
        <w:pStyle w:val="Compact"/>
        <w:numPr>
          <w:ilvl w:val="0"/>
          <w:numId w:val="1069"/>
        </w:numPr>
      </w:pPr>
      <w:r>
        <w:t xml:space="preserve">Review geometry/SUV/registration behavior explicitly.</w:t>
      </w:r>
    </w:p>
    <w:p>
      <w:pPr>
        <w:pStyle w:val="Compact"/>
        <w:numPr>
          <w:ilvl w:val="0"/>
          <w:numId w:val="1069"/>
        </w:numPr>
      </w:pPr>
      <w:r>
        <w:t xml:space="preserve">Proceed to the next module only after acceptance criteria pass.</w:t>
      </w:r>
    </w:p>
    <w:bookmarkEnd w:id="141"/>
    <w:bookmarkStart w:id="142" w:name="suggested-prompt-for-code-refactoring"/>
    <w:p>
      <w:pPr>
        <w:pStyle w:val="Heading2"/>
      </w:pPr>
      <w:r>
        <w:t xml:space="preserve">30.3 Suggested prompt for code refactoring</w:t>
      </w:r>
    </w:p>
    <w:p>
      <w:pPr>
        <w:pStyle w:val="SourceCode"/>
      </w:pPr>
      <w:r>
        <w:rPr>
          <w:rStyle w:val="VerbatimChar"/>
        </w:rPr>
        <w:t xml:space="preserve">You are refactoring an existing PSMA PET/CT workstation.</w:t>
      </w:r>
      <w:r>
        <w:br/>
      </w:r>
      <w:r>
        <w:rPr>
          <w:rStyle w:val="VerbatimChar"/>
        </w:rPr>
        <w:t xml:space="preserve">Treat the attached Clinical Reporting Mode specification as the product contract.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[INSERT ONE CONCRETE TASK]</w:t>
      </w:r>
      <w:r>
        <w:br/>
      </w:r>
      <w:r>
        <w:br/>
      </w:r>
      <w:r>
        <w:rPr>
          <w:rStyle w:val="VerbatimChar"/>
        </w:rPr>
        <w:t xml:space="preserve">Before writing code:</w:t>
      </w:r>
      <w:r>
        <w:br/>
      </w:r>
      <w:r>
        <w:rPr>
          <w:rStyle w:val="VerbatimChar"/>
        </w:rPr>
        <w:t xml:space="preserve">1. summarize the current behavior from the supplied source files,</w:t>
      </w:r>
      <w:r>
        <w:br/>
      </w:r>
      <w:r>
        <w:rPr>
          <w:rStyle w:val="VerbatimChar"/>
        </w:rPr>
        <w:t xml:space="preserve">2. identify the smallest set of files/modules that must change,</w:t>
      </w:r>
      <w:r>
        <w:br/>
      </w:r>
      <w:r>
        <w:rPr>
          <w:rStyle w:val="VerbatimChar"/>
        </w:rPr>
        <w:t xml:space="preserve">3. list risks and backward-compatibility constraints,</w:t>
      </w:r>
      <w:r>
        <w:br/>
      </w:r>
      <w:r>
        <w:rPr>
          <w:rStyle w:val="VerbatimChar"/>
        </w:rPr>
        <w:t xml:space="preserve">4. propose an implementation plan,</w:t>
      </w:r>
      <w:r>
        <w:br/>
      </w:r>
      <w:r>
        <w:rPr>
          <w:rStyle w:val="VerbatimChar"/>
        </w:rPr>
        <w:t xml:space="preserve">5. identify tests that should be added or updated.</w:t>
      </w:r>
      <w:r>
        <w:br/>
      </w:r>
      <w:r>
        <w:br/>
      </w:r>
      <w:r>
        <w:rPr>
          <w:rStyle w:val="VerbatimChar"/>
        </w:rPr>
        <w:t xml:space="preserve">Hard constraints:</w:t>
      </w:r>
      <w:r>
        <w:br/>
      </w:r>
      <w:r>
        <w:rPr>
          <w:rStyle w:val="VerbatimChar"/>
        </w:rPr>
        <w:t xml:space="preserve">- do not change DICOM geometry/orientation semantics,</w:t>
      </w:r>
      <w:r>
        <w:br/>
      </w:r>
      <w:r>
        <w:rPr>
          <w:rStyle w:val="VerbatimChar"/>
        </w:rPr>
        <w:t xml:space="preserve">- do not change SUV calculations,</w:t>
      </w:r>
      <w:r>
        <w:br/>
      </w:r>
      <w:r>
        <w:rPr>
          <w:rStyle w:val="VerbatimChar"/>
        </w:rPr>
        <w:t xml:space="preserve">- do not change image spacing/origin/direction behavior,</w:t>
      </w:r>
      <w:r>
        <w:br/>
      </w:r>
      <w:r>
        <w:rPr>
          <w:rStyle w:val="VerbatimChar"/>
        </w:rPr>
        <w:t xml:space="preserve">- do not change mask coordinate systems,</w:t>
      </w:r>
      <w:r>
        <w:br/>
      </w:r>
      <w:r>
        <w:rPr>
          <w:rStyle w:val="VerbatimChar"/>
        </w:rPr>
        <w:t xml:space="preserve">- do not overwrite original AI masks,</w:t>
      </w:r>
      <w:r>
        <w:br/>
      </w:r>
      <w:r>
        <w:rPr>
          <w:rStyle w:val="VerbatimChar"/>
        </w:rPr>
        <w:t xml:space="preserve">- do not change registration transforms unless explicitly requested,</w:t>
      </w:r>
      <w:r>
        <w:br/>
      </w:r>
      <w:r>
        <w:rPr>
          <w:rStyle w:val="VerbatimChar"/>
        </w:rPr>
        <w:t xml:space="preserve">- keep Scientific Annotation Mode functional,</w:t>
      </w:r>
      <w:r>
        <w:br/>
      </w:r>
      <w:r>
        <w:rPr>
          <w:rStyle w:val="VerbatimChar"/>
        </w:rPr>
        <w:t xml:space="preserve">- keep business logic separate from monitor-specific UI code,</w:t>
      </w:r>
      <w:r>
        <w:br/>
      </w:r>
      <w:r>
        <w:rPr>
          <w:rStyle w:val="VerbatimChar"/>
        </w:rPr>
        <w:t xml:space="preserve">- all staging/response calculations must remain deterministic,</w:t>
      </w:r>
      <w:r>
        <w:br/>
      </w:r>
      <w:r>
        <w:rPr>
          <w:rStyle w:val="VerbatimChar"/>
        </w:rPr>
        <w:t xml:space="preserve">- LLM output must never become the source of quantitative truth.</w:t>
      </w:r>
      <w:r>
        <w:br/>
      </w:r>
      <w:r>
        <w:br/>
      </w:r>
      <w:r>
        <w:rPr>
          <w:rStyle w:val="VerbatimChar"/>
        </w:rPr>
        <w:t xml:space="preserve">After I approve the plan, generate the patch in small, reviewable units.</w:t>
      </w:r>
      <w:r>
        <w:br/>
      </w:r>
      <w:r>
        <w:rPr>
          <w:rStyle w:val="VerbatimChar"/>
        </w:rPr>
        <w:t xml:space="preserve">For each changed unit explain exactly which requirement(s) it implements.</w:t>
      </w:r>
    </w:p>
    <w:bookmarkEnd w:id="142"/>
    <w:bookmarkStart w:id="143" w:name="Xda93aa5e3ff8ad382a356b4090d4895334bbe04"/>
    <w:p>
      <w:pPr>
        <w:pStyle w:val="Heading2"/>
      </w:pPr>
      <w:r>
        <w:t xml:space="preserve">30.4 Suggested prompt for report-language generation</w:t>
      </w:r>
    </w:p>
    <w:p>
      <w:pPr>
        <w:pStyle w:val="SourceCode"/>
      </w:pPr>
      <w:r>
        <w:rPr>
          <w:rStyle w:val="VerbatimChar"/>
        </w:rPr>
        <w:t xml:space="preserve">Generate professional PSMA PET/CT report prose from the supplied structured facts.</w:t>
      </w:r>
      <w:r>
        <w:br/>
      </w:r>
      <w:r>
        <w:rPr>
          <w:rStyle w:val="VerbatimChar"/>
        </w:rPr>
        <w:t xml:space="preserve">Use only the facts provided in the JSON payload.</w:t>
      </w:r>
      <w:r>
        <w:br/>
      </w:r>
      <w:r>
        <w:rPr>
          <w:rStyle w:val="VerbatimChar"/>
        </w:rPr>
        <w:t xml:space="preserve">Do not invent, infer, or recalculate missing clinical facts.</w:t>
      </w:r>
      <w:r>
        <w:br/>
      </w:r>
      <w:r>
        <w:rPr>
          <w:rStyle w:val="VerbatimChar"/>
        </w:rPr>
        <w:t xml:space="preserve">Do not alter dates, laterality, lesion counts, SUV values, sizes, volumes, staging, or response classifications.</w:t>
      </w:r>
      <w:r>
        <w:br/>
      </w:r>
      <w:r>
        <w:rPr>
          <w:rStyle w:val="VerbatimChar"/>
        </w:rPr>
        <w:t xml:space="preserve">If a value is missing, omit it unless the template explicitly requires an 'unknown/not available' statement.</w:t>
      </w:r>
      <w:r>
        <w:br/>
      </w:r>
      <w:r>
        <w:rPr>
          <w:rStyle w:val="VerbatimChar"/>
        </w:rPr>
        <w:t xml:space="preserve">Return only the requested report sections.</w:t>
      </w:r>
      <w:r>
        <w:br/>
      </w:r>
      <w:r>
        <w:rPr>
          <w:rStyle w:val="VerbatimChar"/>
        </w:rPr>
        <w:t xml:space="preserve">Preserve physician-confirmed interpretation exactly in meaning.</w:t>
      </w:r>
    </w:p>
    <w:bookmarkEnd w:id="143"/>
    <w:bookmarkEnd w:id="144"/>
    <w:bookmarkStart w:id="145" w:name="performance-and-usability-targets"/>
    <w:p>
      <w:pPr>
        <w:pStyle w:val="Heading1"/>
      </w:pPr>
      <w:r>
        <w:t xml:space="preserve">31. Performance and usability targets</w:t>
      </w:r>
    </w:p>
    <w:p>
      <w:pPr>
        <w:pStyle w:val="FirstParagraph"/>
      </w:pPr>
      <w:r>
        <w:t xml:space="preserve">Clinical interaction should feel immediate.</w:t>
      </w:r>
    </w:p>
    <w:p>
      <w:pPr>
        <w:pStyle w:val="BodyText"/>
      </w:pPr>
      <w:r>
        <w:t xml:space="preserve">Recommended targets where technically feasible:</w:t>
      </w:r>
    </w:p>
    <w:p>
      <w:pPr>
        <w:pStyle w:val="Compact"/>
        <w:numPr>
          <w:ilvl w:val="0"/>
          <w:numId w:val="1070"/>
        </w:numPr>
      </w:pPr>
      <w:r>
        <w:t xml:space="preserve">finding selection -&gt; synchronized M1/M2 update without perceptible blocking,</w:t>
      </w:r>
    </w:p>
    <w:p>
      <w:pPr>
        <w:pStyle w:val="Compact"/>
        <w:numPr>
          <w:ilvl w:val="0"/>
          <w:numId w:val="1070"/>
        </w:numPr>
      </w:pPr>
      <w:r>
        <w:t xml:space="preserve">next relevant finding -&gt; prefetch next images/segmentations,</w:t>
      </w:r>
    </w:p>
    <w:p>
      <w:pPr>
        <w:pStyle w:val="Compact"/>
        <w:numPr>
          <w:ilvl w:val="0"/>
          <w:numId w:val="1070"/>
        </w:numPr>
      </w:pPr>
      <w:r>
        <w:t xml:space="preserve">report section regeneration -&gt; asynchronous and non-blocking,</w:t>
      </w:r>
    </w:p>
    <w:p>
      <w:pPr>
        <w:pStyle w:val="Compact"/>
        <w:numPr>
          <w:ilvl w:val="0"/>
          <w:numId w:val="1070"/>
        </w:numPr>
      </w:pPr>
      <w:r>
        <w:t xml:space="preserve">autosave after physician action,</w:t>
      </w:r>
    </w:p>
    <w:p>
      <w:pPr>
        <w:pStyle w:val="Compact"/>
        <w:numPr>
          <w:ilvl w:val="0"/>
          <w:numId w:val="1070"/>
        </w:numPr>
      </w:pPr>
      <w:r>
        <w:t xml:space="preserve">no unnecessary modal confirmation dialogs,</w:t>
      </w:r>
    </w:p>
    <w:p>
      <w:pPr>
        <w:pStyle w:val="Compact"/>
        <w:numPr>
          <w:ilvl w:val="0"/>
          <w:numId w:val="1070"/>
        </w:numPr>
      </w:pPr>
      <w:r>
        <w:t xml:space="preserve">no waiting for LLM calls before the physician can continue reading images.</w:t>
      </w:r>
    </w:p>
    <w:p>
      <w:pPr>
        <w:pStyle w:val="FirstParagraph"/>
      </w:pPr>
      <w:r>
        <w:t xml:space="preserve">LLM/network failure must not block basic diagnostic viewing, segmentation correction, staging calculation, or manual reporting.</w:t>
      </w:r>
    </w:p>
    <w:bookmarkEnd w:id="145"/>
    <w:bookmarkStart w:id="146" w:name="autosave-auditability-and-versioning"/>
    <w:p>
      <w:pPr>
        <w:pStyle w:val="Heading1"/>
      </w:pPr>
      <w:r>
        <w:t xml:space="preserve">32. Autosave, auditability, and versioning</w:t>
      </w:r>
    </w:p>
    <w:p>
      <w:pPr>
        <w:pStyle w:val="FirstParagraph"/>
      </w:pPr>
      <w:r>
        <w:t xml:space="preserve">Autosave after clinically meaningful actions:</w:t>
      </w:r>
    </w:p>
    <w:p>
      <w:pPr>
        <w:pStyle w:val="Compact"/>
        <w:numPr>
          <w:ilvl w:val="0"/>
          <w:numId w:val="1071"/>
        </w:numPr>
      </w:pPr>
      <w:r>
        <w:t xml:space="preserve">history confirmation,</w:t>
      </w:r>
    </w:p>
    <w:p>
      <w:pPr>
        <w:pStyle w:val="Compact"/>
        <w:numPr>
          <w:ilvl w:val="0"/>
          <w:numId w:val="1071"/>
        </w:numPr>
      </w:pPr>
      <w:r>
        <w:t xml:space="preserve">segmentation correction,</w:t>
      </w:r>
    </w:p>
    <w:p>
      <w:pPr>
        <w:pStyle w:val="Compact"/>
        <w:numPr>
          <w:ilvl w:val="0"/>
          <w:numId w:val="1071"/>
        </w:numPr>
      </w:pPr>
      <w:r>
        <w:t xml:space="preserve">finding validation/rejection,</w:t>
      </w:r>
    </w:p>
    <w:p>
      <w:pPr>
        <w:pStyle w:val="Compact"/>
        <w:numPr>
          <w:ilvl w:val="0"/>
          <w:numId w:val="1071"/>
        </w:numPr>
      </w:pPr>
      <w:r>
        <w:t xml:space="preserve">new lesion creation,</w:t>
      </w:r>
    </w:p>
    <w:p>
      <w:pPr>
        <w:pStyle w:val="Compact"/>
        <w:numPr>
          <w:ilvl w:val="0"/>
          <w:numId w:val="1071"/>
        </w:numPr>
      </w:pPr>
      <w:r>
        <w:t xml:space="preserve">staging/response confirmation,</w:t>
      </w:r>
    </w:p>
    <w:p>
      <w:pPr>
        <w:pStyle w:val="Compact"/>
        <w:numPr>
          <w:ilvl w:val="0"/>
          <w:numId w:val="1071"/>
        </w:numPr>
      </w:pPr>
      <w:r>
        <w:t xml:space="preserve">dictation processing,</w:t>
      </w:r>
    </w:p>
    <w:p>
      <w:pPr>
        <w:pStyle w:val="Compact"/>
        <w:numPr>
          <w:ilvl w:val="0"/>
          <w:numId w:val="1071"/>
        </w:numPr>
      </w:pPr>
      <w:r>
        <w:t xml:space="preserve">report section edit,</w:t>
      </w:r>
    </w:p>
    <w:p>
      <w:pPr>
        <w:pStyle w:val="Compact"/>
        <w:numPr>
          <w:ilvl w:val="0"/>
          <w:numId w:val="1071"/>
        </w:numPr>
      </w:pPr>
      <w:r>
        <w:t xml:space="preserve">key-image selection.</w:t>
      </w:r>
    </w:p>
    <w:p>
      <w:pPr>
        <w:pStyle w:val="FirstParagraph"/>
      </w:pPr>
      <w:r>
        <w:t xml:space="preserve">Never overwrite:</w:t>
      </w:r>
    </w:p>
    <w:p>
      <w:pPr>
        <w:pStyle w:val="Compact"/>
        <w:numPr>
          <w:ilvl w:val="0"/>
          <w:numId w:val="1072"/>
        </w:numPr>
      </w:pPr>
      <w:r>
        <w:t xml:space="preserve">original AI segmentation,</w:t>
      </w:r>
    </w:p>
    <w:p>
      <w:pPr>
        <w:pStyle w:val="Compact"/>
        <w:numPr>
          <w:ilvl w:val="0"/>
          <w:numId w:val="1072"/>
        </w:numPr>
      </w:pPr>
      <w:r>
        <w:t xml:space="preserve">prior signed report,</w:t>
      </w:r>
    </w:p>
    <w:p>
      <w:pPr>
        <w:pStyle w:val="Compact"/>
        <w:numPr>
          <w:ilvl w:val="0"/>
          <w:numId w:val="1072"/>
        </w:numPr>
      </w:pPr>
      <w:r>
        <w:t xml:space="preserve">previous report draft versions needed for audit,</w:t>
      </w:r>
    </w:p>
    <w:p>
      <w:pPr>
        <w:pStyle w:val="Compact"/>
        <w:numPr>
          <w:ilvl w:val="0"/>
          <w:numId w:val="1072"/>
        </w:numPr>
      </w:pPr>
      <w:r>
        <w:t xml:space="preserve">raw deterministic measurement records.</w:t>
      </w:r>
    </w:p>
    <w:p>
      <w:pPr>
        <w:pStyle w:val="FirstParagraph"/>
      </w:pPr>
      <w:r>
        <w:t xml:space="preserve">Maintain an audit trail with user, timestamp, action, old/new state, and relevant object IDs.</w:t>
      </w:r>
    </w:p>
    <w:bookmarkEnd w:id="146"/>
    <w:bookmarkStart w:id="152" w:name="safety-and-failure-behavior"/>
    <w:p>
      <w:pPr>
        <w:pStyle w:val="Heading1"/>
      </w:pPr>
      <w:r>
        <w:t xml:space="preserve">33. Safety and failure behavior</w:t>
      </w:r>
    </w:p>
    <w:bookmarkStart w:id="147" w:name="missing-prior-examination"/>
    <w:p>
      <w:pPr>
        <w:pStyle w:val="Heading2"/>
      </w:pPr>
      <w:r>
        <w:t xml:space="preserve">33.1 Missing prior examination</w:t>
      </w:r>
    </w:p>
    <w:p>
      <w:pPr>
        <w:pStyle w:val="FirstParagraph"/>
      </w:pPr>
      <w:r>
        <w:t xml:space="preserve">Fall back to M2 whole-body staging mode. Do not show empty prior panes.</w:t>
      </w:r>
    </w:p>
    <w:bookmarkEnd w:id="147"/>
    <w:bookmarkStart w:id="148" w:name="missing-prior-report"/>
    <w:p>
      <w:pPr>
        <w:pStyle w:val="Heading2"/>
      </w:pPr>
      <w:r>
        <w:t xml:space="preserve">33.2 Missing prior report</w:t>
      </w:r>
    </w:p>
    <w:p>
      <w:pPr>
        <w:pStyle w:val="FirstParagraph"/>
      </w:pPr>
      <w:r>
        <w:t xml:space="preserve">Hide prior-report template actions rather than presenting disabled clutter.</w:t>
      </w:r>
    </w:p>
    <w:bookmarkEnd w:id="148"/>
    <w:bookmarkStart w:id="149" w:name="llm-unavailable"/>
    <w:p>
      <w:pPr>
        <w:pStyle w:val="Heading2"/>
      </w:pPr>
      <w:r>
        <w:t xml:space="preserve">33.3 LLM unavailable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73"/>
        </w:numPr>
      </w:pPr>
      <w:r>
        <w:t xml:space="preserve">manual history entry,</w:t>
      </w:r>
    </w:p>
    <w:p>
      <w:pPr>
        <w:pStyle w:val="Compact"/>
        <w:numPr>
          <w:ilvl w:val="0"/>
          <w:numId w:val="1073"/>
        </w:numPr>
      </w:pPr>
      <w:r>
        <w:t xml:space="preserve">manual dictation transcript entry,</w:t>
      </w:r>
    </w:p>
    <w:p>
      <w:pPr>
        <w:pStyle w:val="Compact"/>
        <w:numPr>
          <w:ilvl w:val="0"/>
          <w:numId w:val="1073"/>
        </w:numPr>
      </w:pPr>
      <w:r>
        <w:t xml:space="preserve">deterministic structured report template,</w:t>
      </w:r>
    </w:p>
    <w:p>
      <w:pPr>
        <w:pStyle w:val="Compact"/>
        <w:numPr>
          <w:ilvl w:val="0"/>
          <w:numId w:val="1073"/>
        </w:numPr>
      </w:pPr>
      <w:r>
        <w:t xml:space="preserve">staging/response calculation,</w:t>
      </w:r>
    </w:p>
    <w:p>
      <w:pPr>
        <w:pStyle w:val="Compact"/>
        <w:numPr>
          <w:ilvl w:val="0"/>
          <w:numId w:val="1073"/>
        </w:numPr>
      </w:pPr>
      <w:r>
        <w:t xml:space="preserve">export.</w:t>
      </w:r>
    </w:p>
    <w:bookmarkEnd w:id="149"/>
    <w:bookmarkStart w:id="150" w:name="registration-poor"/>
    <w:p>
      <w:pPr>
        <w:pStyle w:val="Heading2"/>
      </w:pPr>
      <w:r>
        <w:t xml:space="preserve">33.4 Registration poor</w:t>
      </w:r>
    </w:p>
    <w:p>
      <w:pPr>
        <w:pStyle w:val="FirstParagraph"/>
      </w:pPr>
      <w:r>
        <w:t xml:space="preserve">Flag comparison values/visual overlays as potentially unreliable. Do not silently claim longitudinal lesion identity solely from a poor transform.</w:t>
      </w:r>
    </w:p>
    <w:bookmarkEnd w:id="150"/>
    <w:bookmarkStart w:id="151" w:name="incomplete-critical-review"/>
    <w:p>
      <w:pPr>
        <w:pStyle w:val="Heading2"/>
      </w:pPr>
      <w:r>
        <w:t xml:space="preserve">33.5 Incomplete critical review</w:t>
      </w:r>
    </w:p>
    <w:p>
      <w:pPr>
        <w:pStyle w:val="FirstParagraph"/>
      </w:pPr>
      <w:r>
        <w:t xml:space="preserve">Signing should be blocked or warned according to configured severity if a staging-changing/new/uncertain finding remains unreviewed.</w:t>
      </w:r>
    </w:p>
    <w:bookmarkEnd w:id="151"/>
    <w:bookmarkEnd w:id="152"/>
    <w:bookmarkStart w:id="158" w:name="acceptance-criteria-by-workflow"/>
    <w:p>
      <w:pPr>
        <w:pStyle w:val="Heading1"/>
      </w:pPr>
      <w:r>
        <w:t xml:space="preserve">34. Acceptance criteria by workflow</w:t>
      </w:r>
    </w:p>
    <w:bookmarkStart w:id="153" w:name="initial-staging"/>
    <w:p>
      <w:pPr>
        <w:pStyle w:val="Heading2"/>
      </w:pPr>
      <w:r>
        <w:t xml:space="preserve">34.1 Initial staging</w:t>
      </w:r>
    </w:p>
    <w:p>
      <w:pPr>
        <w:pStyle w:val="FirstParagraph"/>
      </w:pPr>
      <w:r>
        <w:t xml:space="preserve">Given validated primary/nodal/metastatic findings, the system:</w:t>
      </w:r>
    </w:p>
    <w:p>
      <w:pPr>
        <w:pStyle w:val="Compact"/>
        <w:numPr>
          <w:ilvl w:val="0"/>
          <w:numId w:val="1074"/>
        </w:numPr>
      </w:pPr>
      <w:r>
        <w:t xml:space="preserve">displays current imaging on M1,</w:t>
      </w:r>
    </w:p>
    <w:p>
      <w:pPr>
        <w:pStyle w:val="Compact"/>
        <w:numPr>
          <w:ilvl w:val="0"/>
          <w:numId w:val="1074"/>
        </w:numPr>
      </w:pPr>
      <w:r>
        <w:t xml:space="preserve">uses M2 whole-body context when no prior exists,</w:t>
      </w:r>
    </w:p>
    <w:p>
      <w:pPr>
        <w:pStyle w:val="Compact"/>
        <w:numPr>
          <w:ilvl w:val="0"/>
          <w:numId w:val="1074"/>
        </w:numPr>
      </w:pPr>
      <w:r>
        <w:t xml:space="preserve">provides candidate miTNM with evidence,</w:t>
      </w:r>
    </w:p>
    <w:p>
      <w:pPr>
        <w:pStyle w:val="Compact"/>
        <w:numPr>
          <w:ilvl w:val="0"/>
          <w:numId w:val="1074"/>
        </w:numPr>
      </w:pPr>
      <w:r>
        <w:t xml:space="preserve">requires physician confirmation/override,</w:t>
      </w:r>
    </w:p>
    <w:p>
      <w:pPr>
        <w:pStyle w:val="Compact"/>
        <w:numPr>
          <w:ilvl w:val="0"/>
          <w:numId w:val="1074"/>
        </w:numPr>
      </w:pPr>
      <w:r>
        <w:t xml:space="preserve">generates anatomically organized report text,</w:t>
      </w:r>
    </w:p>
    <w:p>
      <w:pPr>
        <w:pStyle w:val="Compact"/>
        <w:numPr>
          <w:ilvl w:val="0"/>
          <w:numId w:val="1074"/>
        </w:numPr>
      </w:pPr>
      <w:r>
        <w:t xml:space="preserve">produces concise impression and synoptic summary.</w:t>
      </w:r>
    </w:p>
    <w:bookmarkEnd w:id="153"/>
    <w:bookmarkStart w:id="154" w:name="bcr"/>
    <w:p>
      <w:pPr>
        <w:pStyle w:val="Heading2"/>
      </w:pPr>
      <w:r>
        <w:t xml:space="preserve">34.2 BCR</w:t>
      </w:r>
    </w:p>
    <w:p>
      <w:pPr>
        <w:pStyle w:val="FirstParagraph"/>
      </w:pPr>
      <w:r>
        <w:t xml:space="preserve">Given current PSA context and prior therapy, the system:</w:t>
      </w:r>
    </w:p>
    <w:p>
      <w:pPr>
        <w:pStyle w:val="Compact"/>
        <w:numPr>
          <w:ilvl w:val="0"/>
          <w:numId w:val="1075"/>
        </w:numPr>
      </w:pPr>
      <w:r>
        <w:t xml:space="preserve">supports history dictation,</w:t>
      </w:r>
    </w:p>
    <w:p>
      <w:pPr>
        <w:pStyle w:val="Compact"/>
        <w:numPr>
          <w:ilvl w:val="0"/>
          <w:numId w:val="1075"/>
        </w:numPr>
      </w:pPr>
      <w:r>
        <w:t xml:space="preserve">displays current/prior comparison when available,</w:t>
      </w:r>
    </w:p>
    <w:p>
      <w:pPr>
        <w:pStyle w:val="Compact"/>
        <w:numPr>
          <w:ilvl w:val="0"/>
          <w:numId w:val="1075"/>
        </w:numPr>
      </w:pPr>
      <w:r>
        <w:t xml:space="preserve">summarizes recurrence compartments,</w:t>
      </w:r>
    </w:p>
    <w:p>
      <w:pPr>
        <w:pStyle w:val="Compact"/>
        <w:numPr>
          <w:ilvl w:val="0"/>
          <w:numId w:val="1075"/>
        </w:numPr>
      </w:pPr>
      <w:r>
        <w:t xml:space="preserve">highlights new/staging-changing findings,</w:t>
      </w:r>
    </w:p>
    <w:p>
      <w:pPr>
        <w:pStyle w:val="Compact"/>
        <w:numPr>
          <w:ilvl w:val="0"/>
          <w:numId w:val="1075"/>
        </w:numPr>
      </w:pPr>
      <w:r>
        <w:t xml:space="preserve">generates BCR-appropriate impression,</w:t>
      </w:r>
    </w:p>
    <w:p>
      <w:pPr>
        <w:pStyle w:val="Compact"/>
        <w:numPr>
          <w:ilvl w:val="0"/>
          <w:numId w:val="1075"/>
        </w:numPr>
      </w:pPr>
      <w:r>
        <w:t xml:space="preserve">does not force RLT/RECIST fields.</w:t>
      </w:r>
    </w:p>
    <w:bookmarkEnd w:id="154"/>
    <w:bookmarkStart w:id="155" w:name="pre-rlt"/>
    <w:p>
      <w:pPr>
        <w:pStyle w:val="Heading2"/>
      </w:pPr>
      <w:r>
        <w:t xml:space="preserve">34.3 Pre-RLT</w:t>
      </w:r>
    </w:p>
    <w:p>
      <w:pPr>
        <w:pStyle w:val="FirstParagraph"/>
      </w:pPr>
      <w:r>
        <w:t xml:space="preserve">The system:</w:t>
      </w:r>
    </w:p>
    <w:p>
      <w:pPr>
        <w:pStyle w:val="Compact"/>
        <w:numPr>
          <w:ilvl w:val="0"/>
          <w:numId w:val="1076"/>
        </w:numPr>
      </w:pPr>
      <w:r>
        <w:t xml:space="preserve">shows TMTV and disease distribution,</w:t>
      </w:r>
    </w:p>
    <w:p>
      <w:pPr>
        <w:pStyle w:val="Compact"/>
        <w:numPr>
          <w:ilvl w:val="0"/>
          <w:numId w:val="1076"/>
        </w:numPr>
      </w:pPr>
      <w:r>
        <w:t xml:space="preserve">displays reference tissues,</w:t>
      </w:r>
    </w:p>
    <w:p>
      <w:pPr>
        <w:pStyle w:val="Compact"/>
        <w:numPr>
          <w:ilvl w:val="0"/>
          <w:numId w:val="1076"/>
        </w:numPr>
      </w:pPr>
      <w:r>
        <w:t xml:space="preserve">supports baseline designation,</w:t>
      </w:r>
    </w:p>
    <w:p>
      <w:pPr>
        <w:pStyle w:val="Compact"/>
        <w:numPr>
          <w:ilvl w:val="0"/>
          <w:numId w:val="1076"/>
        </w:numPr>
      </w:pPr>
      <w:r>
        <w:t xml:space="preserve">stores the examination as selectable future baseline,</w:t>
      </w:r>
    </w:p>
    <w:p>
      <w:pPr>
        <w:pStyle w:val="Compact"/>
        <w:numPr>
          <w:ilvl w:val="0"/>
          <w:numId w:val="1076"/>
        </w:numPr>
      </w:pPr>
      <w:r>
        <w:t xml:space="preserve">generates baseline theranostic report language.</w:t>
      </w:r>
    </w:p>
    <w:bookmarkEnd w:id="155"/>
    <w:bookmarkStart w:id="156" w:name="post-rlt"/>
    <w:p>
      <w:pPr>
        <w:pStyle w:val="Heading2"/>
      </w:pPr>
      <w:r>
        <w:t xml:space="preserve">34.4 Post-RLT</w:t>
      </w:r>
    </w:p>
    <w:p>
      <w:pPr>
        <w:pStyle w:val="FirstParagraph"/>
      </w:pPr>
      <w:r>
        <w:t xml:space="preserve">The system:</w:t>
      </w:r>
    </w:p>
    <w:p>
      <w:pPr>
        <w:pStyle w:val="Compact"/>
        <w:numPr>
          <w:ilvl w:val="0"/>
          <w:numId w:val="1077"/>
        </w:numPr>
      </w:pPr>
      <w:r>
        <w:t xml:space="preserve">defaults M2 to current vs baseline,</w:t>
      </w:r>
    </w:p>
    <w:p>
      <w:pPr>
        <w:pStyle w:val="Compact"/>
        <w:numPr>
          <w:ilvl w:val="0"/>
          <w:numId w:val="1077"/>
        </w:numPr>
      </w:pPr>
      <w:r>
        <w:t xml:space="preserve">can toggle current vs previous,</w:t>
      </w:r>
    </w:p>
    <w:p>
      <w:pPr>
        <w:pStyle w:val="Compact"/>
        <w:numPr>
          <w:ilvl w:val="0"/>
          <w:numId w:val="1077"/>
        </w:numPr>
      </w:pPr>
      <w:r>
        <w:t xml:space="preserve">calculates deterministic longitudinal metrics,</w:t>
      </w:r>
    </w:p>
    <w:p>
      <w:pPr>
        <w:pStyle w:val="Compact"/>
        <w:numPr>
          <w:ilvl w:val="0"/>
          <w:numId w:val="1077"/>
        </w:numPr>
      </w:pPr>
      <w:r>
        <w:t xml:space="preserve">identifies new lesions,</w:t>
      </w:r>
    </w:p>
    <w:p>
      <w:pPr>
        <w:pStyle w:val="Compact"/>
        <w:numPr>
          <w:ilvl w:val="0"/>
          <w:numId w:val="1077"/>
        </w:numPr>
      </w:pPr>
      <w:r>
        <w:t xml:space="preserve">produces candidate PSMA-response classification where applicable,</w:t>
      </w:r>
    </w:p>
    <w:p>
      <w:pPr>
        <w:pStyle w:val="Compact"/>
        <w:numPr>
          <w:ilvl w:val="0"/>
          <w:numId w:val="1077"/>
        </w:numPr>
      </w:pPr>
      <w:r>
        <w:t xml:space="preserve">requires physician confirmation,</w:t>
      </w:r>
    </w:p>
    <w:p>
      <w:pPr>
        <w:pStyle w:val="Compact"/>
        <w:numPr>
          <w:ilvl w:val="0"/>
          <w:numId w:val="1077"/>
        </w:numPr>
      </w:pPr>
      <w:r>
        <w:t xml:space="preserve">creates a concise longitudinal report.</w:t>
      </w:r>
    </w:p>
    <w:bookmarkEnd w:id="156"/>
    <w:bookmarkStart w:id="157" w:name="recist"/>
    <w:p>
      <w:pPr>
        <w:pStyle w:val="Heading2"/>
      </w:pPr>
      <w:r>
        <w:t xml:space="preserve">34.5 RECIST</w:t>
      </w:r>
    </w:p>
    <w:p>
      <w:pPr>
        <w:pStyle w:val="FirstParagraph"/>
      </w:pPr>
      <w:r>
        <w:t xml:space="preserve">Formal RECIST tools remain inactive until CT suitability is confirmed. When active, target-lesion selection and numerical calculations are deterministic and auditable.</w:t>
      </w:r>
    </w:p>
    <w:bookmarkEnd w:id="157"/>
    <w:bookmarkEnd w:id="158"/>
    <w:bookmarkStart w:id="159" w:name="acceptance-criteria-for-key-images"/>
    <w:p>
      <w:pPr>
        <w:pStyle w:val="Heading1"/>
      </w:pPr>
      <w:r>
        <w:t xml:space="preserve">35. Acceptance criteria for key images</w:t>
      </w:r>
    </w:p>
    <w:p>
      <w:pPr>
        <w:pStyle w:val="Compact"/>
        <w:numPr>
          <w:ilvl w:val="0"/>
          <w:numId w:val="1078"/>
        </w:numPr>
      </w:pPr>
      <w:r>
        <w:t xml:space="preserve">Physician can mark/unmark a finding as a key image with one action.</w:t>
      </w:r>
    </w:p>
    <w:p>
      <w:pPr>
        <w:pStyle w:val="Compact"/>
        <w:numPr>
          <w:ilvl w:val="0"/>
          <w:numId w:val="1078"/>
        </w:numPr>
      </w:pPr>
      <w:r>
        <w:t xml:space="preserve">Single-study key finding automatically produces at least axial + coronal standardized snapshots.</w:t>
      </w:r>
    </w:p>
    <w:p>
      <w:pPr>
        <w:pStyle w:val="Compact"/>
        <w:numPr>
          <w:ilvl w:val="0"/>
          <w:numId w:val="1078"/>
        </w:numPr>
      </w:pPr>
      <w:r>
        <w:t xml:space="preserve">Longitudinal key finding can automatically produce prior/current two-plane comparison.</w:t>
      </w:r>
    </w:p>
    <w:p>
      <w:pPr>
        <w:pStyle w:val="Compact"/>
        <w:numPr>
          <w:ilvl w:val="0"/>
          <w:numId w:val="1078"/>
        </w:numPr>
      </w:pPr>
      <w:r>
        <w:t xml:space="preserve">Captured images preserve documented viewer parameters and source references.</w:t>
      </w:r>
    </w:p>
    <w:p>
      <w:pPr>
        <w:pStyle w:val="Compact"/>
        <w:numPr>
          <w:ilvl w:val="0"/>
          <w:numId w:val="1078"/>
        </w:numPr>
      </w:pPr>
      <w:r>
        <w:t xml:space="preserve">Key-image captions use validated facts.</w:t>
      </w:r>
    </w:p>
    <w:p>
      <w:pPr>
        <w:pStyle w:val="Compact"/>
        <w:numPr>
          <w:ilvl w:val="0"/>
          <w:numId w:val="1078"/>
        </w:numPr>
      </w:pPr>
      <w:r>
        <w:t xml:space="preserve">Images appear in report preview in physician-defined order.</w:t>
      </w:r>
    </w:p>
    <w:p>
      <w:pPr>
        <w:pStyle w:val="Compact"/>
        <w:numPr>
          <w:ilvl w:val="0"/>
          <w:numId w:val="1078"/>
        </w:numPr>
      </w:pPr>
      <w:r>
        <w:t xml:space="preserve">Physician can remove/reorder/edit caption without changing lesion data.</w:t>
      </w:r>
    </w:p>
    <w:p>
      <w:pPr>
        <w:pStyle w:val="Compact"/>
        <w:numPr>
          <w:ilvl w:val="0"/>
          <w:numId w:val="1078"/>
        </w:numPr>
      </w:pPr>
      <w:r>
        <w:t xml:space="preserve">Report generation does not require manual screenshot capture.</w:t>
      </w:r>
    </w:p>
    <w:bookmarkEnd w:id="159"/>
    <w:bookmarkStart w:id="160" w:name="Xbd9fa2ba1afc46212d51b770c7117baf9fdd66b"/>
    <w:p>
      <w:pPr>
        <w:pStyle w:val="Heading1"/>
      </w:pPr>
      <w:r>
        <w:t xml:space="preserve">36. Acceptance criteria for prior-report-aware generation</w:t>
      </w:r>
    </w:p>
    <w:p>
      <w:pPr>
        <w:pStyle w:val="Compact"/>
        <w:numPr>
          <w:ilvl w:val="0"/>
          <w:numId w:val="1079"/>
        </w:numPr>
      </w:pPr>
      <w:r>
        <w:t xml:space="preserve">Prior report can be loaded independently from current report draft.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Use as template</w:t>
      </w:r>
      <w:r>
        <w:t xml:space="preserve"> </w:t>
      </w:r>
      <w:r>
        <w:t xml:space="preserve">never marks prior statements as current without comparison.</w:t>
      </w:r>
    </w:p>
    <w:p>
      <w:pPr>
        <w:pStyle w:val="Compact"/>
        <w:numPr>
          <w:ilvl w:val="0"/>
          <w:numId w:val="1079"/>
        </w:numPr>
      </w:pPr>
      <w:r>
        <w:t xml:space="preserve">Resolved prior findings can be removed or rewritten as resolved.</w:t>
      </w:r>
    </w:p>
    <w:p>
      <w:pPr>
        <w:pStyle w:val="Compact"/>
        <w:numPr>
          <w:ilvl w:val="0"/>
          <w:numId w:val="1079"/>
        </w:numPr>
      </w:pPr>
      <w:r>
        <w:t xml:space="preserve">Current new findings are inserted.</w:t>
      </w:r>
    </w:p>
    <w:p>
      <w:pPr>
        <w:pStyle w:val="Compact"/>
        <w:numPr>
          <w:ilvl w:val="0"/>
          <w:numId w:val="1079"/>
        </w:numPr>
      </w:pPr>
      <w:r>
        <w:t xml:space="preserve">Numerical values in generated prose match current structured database values.</w:t>
      </w:r>
    </w:p>
    <w:p>
      <w:pPr>
        <w:pStyle w:val="Compact"/>
        <w:numPr>
          <w:ilvl w:val="0"/>
          <w:numId w:val="1079"/>
        </w:numPr>
      </w:pPr>
      <w:r>
        <w:t xml:space="preserve">Carryover conflicts are surfaced by the conflict checker.</w:t>
      </w:r>
    </w:p>
    <w:p>
      <w:pPr>
        <w:pStyle w:val="Compact"/>
        <w:numPr>
          <w:ilvl w:val="0"/>
          <w:numId w:val="1079"/>
        </w:numPr>
      </w:pPr>
      <w:r>
        <w:t xml:space="preserve">Physician manual edits remain visible and are not silently overwritten by regeneration.</w:t>
      </w:r>
    </w:p>
    <w:bookmarkEnd w:id="160"/>
    <w:bookmarkStart w:id="161" w:name="minimum-report-qa-checks"/>
    <w:p>
      <w:pPr>
        <w:pStyle w:val="Heading1"/>
      </w:pPr>
      <w:r>
        <w:t xml:space="preserve">37. Minimum report QA checks</w:t>
      </w:r>
    </w:p>
    <w:p>
      <w:pPr>
        <w:pStyle w:val="FirstParagraph"/>
      </w:pPr>
      <w:r>
        <w:t xml:space="preserve">Before sign-off verify:</w:t>
      </w:r>
    </w:p>
    <w:p>
      <w:pPr>
        <w:pStyle w:val="Compact"/>
        <w:numPr>
          <w:ilvl w:val="0"/>
          <w:numId w:val="1080"/>
        </w:numPr>
      </w:pPr>
      <w:r>
        <w:t xml:space="preserve">correct patient/case,</w:t>
      </w:r>
    </w:p>
    <w:p>
      <w:pPr>
        <w:pStyle w:val="Compact"/>
        <w:numPr>
          <w:ilvl w:val="0"/>
          <w:numId w:val="1080"/>
        </w:numPr>
      </w:pPr>
      <w:r>
        <w:t xml:space="preserve">correct examination date and tracer,</w:t>
      </w:r>
    </w:p>
    <w:p>
      <w:pPr>
        <w:pStyle w:val="Compact"/>
        <w:numPr>
          <w:ilvl w:val="0"/>
          <w:numId w:val="1080"/>
        </w:numPr>
      </w:pPr>
      <w:r>
        <w:t xml:space="preserve">correct reference examination,</w:t>
      </w:r>
    </w:p>
    <w:p>
      <w:pPr>
        <w:pStyle w:val="Compact"/>
        <w:numPr>
          <w:ilvl w:val="0"/>
          <w:numId w:val="1080"/>
        </w:numPr>
      </w:pPr>
      <w:r>
        <w:t xml:space="preserve">all critical findings reviewed,</w:t>
      </w:r>
    </w:p>
    <w:p>
      <w:pPr>
        <w:pStyle w:val="Compact"/>
        <w:numPr>
          <w:ilvl w:val="0"/>
          <w:numId w:val="1080"/>
        </w:numPr>
      </w:pPr>
      <w:r>
        <w:t xml:space="preserve">laterality consistent,</w:t>
      </w:r>
    </w:p>
    <w:p>
      <w:pPr>
        <w:pStyle w:val="Compact"/>
        <w:numPr>
          <w:ilvl w:val="0"/>
          <w:numId w:val="1080"/>
        </w:numPr>
      </w:pPr>
      <w:r>
        <w:t xml:space="preserve">report numbers match structured values,</w:t>
      </w:r>
    </w:p>
    <w:p>
      <w:pPr>
        <w:pStyle w:val="Compact"/>
        <w:numPr>
          <w:ilvl w:val="0"/>
          <w:numId w:val="1080"/>
        </w:numPr>
      </w:pPr>
      <w:r>
        <w:t xml:space="preserve">staging matches confirmed deterministic result,</w:t>
      </w:r>
    </w:p>
    <w:p>
      <w:pPr>
        <w:pStyle w:val="Compact"/>
        <w:numPr>
          <w:ilvl w:val="0"/>
          <w:numId w:val="1080"/>
        </w:numPr>
      </w:pPr>
      <w:r>
        <w:t xml:space="preserve">response matches confirmed deterministic result,</w:t>
      </w:r>
    </w:p>
    <w:p>
      <w:pPr>
        <w:pStyle w:val="Compact"/>
        <w:numPr>
          <w:ilvl w:val="0"/>
          <w:numId w:val="1080"/>
        </w:numPr>
      </w:pPr>
      <w:r>
        <w:t xml:space="preserve">prior resolved findings not accidentally retained,</w:t>
      </w:r>
    </w:p>
    <w:p>
      <w:pPr>
        <w:pStyle w:val="Compact"/>
        <w:numPr>
          <w:ilvl w:val="0"/>
          <w:numId w:val="1080"/>
        </w:numPr>
      </w:pPr>
      <w:r>
        <w:t xml:space="preserve">key images correspond to reported findings,</w:t>
      </w:r>
    </w:p>
    <w:p>
      <w:pPr>
        <w:pStyle w:val="Compact"/>
        <w:numPr>
          <w:ilvl w:val="0"/>
          <w:numId w:val="1080"/>
        </w:numPr>
      </w:pPr>
      <w:r>
        <w:t xml:space="preserve">no placeholder text remains.</w:t>
      </w:r>
    </w:p>
    <w:bookmarkEnd w:id="161"/>
    <w:bookmarkStart w:id="169" w:name="recommended-implementation-order"/>
    <w:p>
      <w:pPr>
        <w:pStyle w:val="Heading1"/>
      </w:pPr>
      <w:r>
        <w:t xml:space="preserve">38. Recommended implementation order</w:t>
      </w:r>
    </w:p>
    <w:bookmarkStart w:id="162" w:name="phase-1---shared-workstation-shell"/>
    <w:p>
      <w:pPr>
        <w:pStyle w:val="Heading2"/>
      </w:pPr>
      <w:r>
        <w:t xml:space="preserve">Phase 1 - Shared workstation shell</w:t>
      </w:r>
    </w:p>
    <w:p>
      <w:pPr>
        <w:pStyle w:val="Compact"/>
        <w:numPr>
          <w:ilvl w:val="0"/>
          <w:numId w:val="1081"/>
        </w:numPr>
      </w:pPr>
      <w:r>
        <w:t xml:space="preserve">robust three-window layout,</w:t>
      </w:r>
    </w:p>
    <w:p>
      <w:pPr>
        <w:pStyle w:val="Compact"/>
        <w:numPr>
          <w:ilvl w:val="0"/>
          <w:numId w:val="1081"/>
        </w:numPr>
      </w:pPr>
      <w:r>
        <w:t xml:space="preserve">session/event bus,</w:t>
      </w:r>
    </w:p>
    <w:p>
      <w:pPr>
        <w:pStyle w:val="Compact"/>
        <w:numPr>
          <w:ilvl w:val="0"/>
          <w:numId w:val="1081"/>
        </w:numPr>
      </w:pPr>
      <w:r>
        <w:t xml:space="preserve">M1 current viewer,</w:t>
      </w:r>
    </w:p>
    <w:p>
      <w:pPr>
        <w:pStyle w:val="Compact"/>
        <w:numPr>
          <w:ilvl w:val="0"/>
          <w:numId w:val="1081"/>
        </w:numPr>
      </w:pPr>
      <w:r>
        <w:t xml:space="preserve">M2 context viewer,</w:t>
      </w:r>
    </w:p>
    <w:p>
      <w:pPr>
        <w:pStyle w:val="Compact"/>
        <w:numPr>
          <w:ilvl w:val="0"/>
          <w:numId w:val="1081"/>
        </w:numPr>
      </w:pPr>
      <w:r>
        <w:t xml:space="preserve">M3 READ/ASSESS/REPORT shell.</w:t>
      </w:r>
    </w:p>
    <w:bookmarkEnd w:id="162"/>
    <w:bookmarkStart w:id="163" w:name="phase-2---clinical-case-profiles"/>
    <w:p>
      <w:pPr>
        <w:pStyle w:val="Heading2"/>
      </w:pPr>
      <w:r>
        <w:t xml:space="preserve">Phase 2 - Clinical case profiles</w:t>
      </w:r>
    </w:p>
    <w:p>
      <w:pPr>
        <w:pStyle w:val="Compact"/>
        <w:numPr>
          <w:ilvl w:val="0"/>
          <w:numId w:val="1082"/>
        </w:numPr>
      </w:pPr>
      <w:r>
        <w:t xml:space="preserve">workflow selector,</w:t>
      </w:r>
    </w:p>
    <w:p>
      <w:pPr>
        <w:pStyle w:val="Compact"/>
        <w:numPr>
          <w:ilvl w:val="0"/>
          <w:numId w:val="1082"/>
        </w:numPr>
      </w:pPr>
      <w:r>
        <w:t xml:space="preserve">context-sensitive panels,</w:t>
      </w:r>
    </w:p>
    <w:p>
      <w:pPr>
        <w:pStyle w:val="Compact"/>
        <w:numPr>
          <w:ilvl w:val="0"/>
          <w:numId w:val="1082"/>
        </w:numPr>
      </w:pPr>
      <w:r>
        <w:t xml:space="preserve">relevant-finding queue,</w:t>
      </w:r>
    </w:p>
    <w:p>
      <w:pPr>
        <w:pStyle w:val="Compact"/>
        <w:numPr>
          <w:ilvl w:val="0"/>
          <w:numId w:val="1082"/>
        </w:numPr>
      </w:pPr>
      <w:r>
        <w:t xml:space="preserve">dynamic M2 layout rules.</w:t>
      </w:r>
    </w:p>
    <w:bookmarkEnd w:id="163"/>
    <w:bookmarkStart w:id="164" w:name="phase-3---prior-report-and-dictation"/>
    <w:p>
      <w:pPr>
        <w:pStyle w:val="Heading2"/>
      </w:pPr>
      <w:r>
        <w:t xml:space="preserve">Phase 3 - Prior report and dictation</w:t>
      </w:r>
    </w:p>
    <w:p>
      <w:pPr>
        <w:pStyle w:val="Compact"/>
        <w:numPr>
          <w:ilvl w:val="0"/>
          <w:numId w:val="1083"/>
        </w:numPr>
      </w:pPr>
      <w:r>
        <w:t xml:space="preserve">prior report ingestion,</w:t>
      </w:r>
    </w:p>
    <w:p>
      <w:pPr>
        <w:pStyle w:val="Compact"/>
        <w:numPr>
          <w:ilvl w:val="0"/>
          <w:numId w:val="1083"/>
        </w:numPr>
      </w:pPr>
      <w:r>
        <w:t xml:space="preserve">history dictation extraction,</w:t>
      </w:r>
    </w:p>
    <w:p>
      <w:pPr>
        <w:pStyle w:val="Compact"/>
        <w:numPr>
          <w:ilvl w:val="0"/>
          <w:numId w:val="1083"/>
        </w:numPr>
      </w:pPr>
      <w:r>
        <w:t xml:space="preserve">finding dictation linkage,</w:t>
      </w:r>
    </w:p>
    <w:p>
      <w:pPr>
        <w:pStyle w:val="Compact"/>
        <w:numPr>
          <w:ilvl w:val="0"/>
          <w:numId w:val="1083"/>
        </w:numPr>
      </w:pPr>
      <w:r>
        <w:t xml:space="preserve">provenance.</w:t>
      </w:r>
    </w:p>
    <w:bookmarkEnd w:id="164"/>
    <w:bookmarkStart w:id="165" w:name="phase-4---deterministic-assessment"/>
    <w:p>
      <w:pPr>
        <w:pStyle w:val="Heading2"/>
      </w:pPr>
      <w:r>
        <w:t xml:space="preserve">Phase 4 - Deterministic assessment</w:t>
      </w:r>
    </w:p>
    <w:p>
      <w:pPr>
        <w:pStyle w:val="Compact"/>
        <w:numPr>
          <w:ilvl w:val="0"/>
          <w:numId w:val="1084"/>
        </w:numPr>
      </w:pPr>
      <w:r>
        <w:t xml:space="preserve">PROMISE/miTNM engine integration,</w:t>
      </w:r>
    </w:p>
    <w:p>
      <w:pPr>
        <w:pStyle w:val="Compact"/>
        <w:numPr>
          <w:ilvl w:val="0"/>
          <w:numId w:val="1084"/>
        </w:numPr>
      </w:pPr>
      <w:r>
        <w:t xml:space="preserve">pre/post-RLT metrics,</w:t>
      </w:r>
    </w:p>
    <w:p>
      <w:pPr>
        <w:pStyle w:val="Compact"/>
        <w:numPr>
          <w:ilvl w:val="0"/>
          <w:numId w:val="1084"/>
        </w:numPr>
      </w:pPr>
      <w:r>
        <w:t xml:space="preserve">RECIP integration where defined,</w:t>
      </w:r>
    </w:p>
    <w:p>
      <w:pPr>
        <w:pStyle w:val="Compact"/>
        <w:numPr>
          <w:ilvl w:val="0"/>
          <w:numId w:val="1084"/>
        </w:numPr>
      </w:pPr>
      <w:r>
        <w:t xml:space="preserve">optional gated RECIST.</w:t>
      </w:r>
    </w:p>
    <w:bookmarkEnd w:id="165"/>
    <w:bookmarkStart w:id="166" w:name="phase-5---report-composer"/>
    <w:p>
      <w:pPr>
        <w:pStyle w:val="Heading2"/>
      </w:pPr>
      <w:r>
        <w:t xml:space="preserve">Phase 5 - Report composer</w:t>
      </w:r>
    </w:p>
    <w:p>
      <w:pPr>
        <w:pStyle w:val="Compact"/>
        <w:numPr>
          <w:ilvl w:val="0"/>
          <w:numId w:val="1085"/>
        </w:numPr>
      </w:pPr>
      <w:r>
        <w:t xml:space="preserve">semi-structured template,</w:t>
      </w:r>
    </w:p>
    <w:p>
      <w:pPr>
        <w:pStyle w:val="Compact"/>
        <w:numPr>
          <w:ilvl w:val="0"/>
          <w:numId w:val="1085"/>
        </w:numPr>
      </w:pPr>
      <w:r>
        <w:t xml:space="preserve">section generation,</w:t>
      </w:r>
    </w:p>
    <w:p>
      <w:pPr>
        <w:pStyle w:val="Compact"/>
        <w:numPr>
          <w:ilvl w:val="0"/>
          <w:numId w:val="1085"/>
        </w:numPr>
      </w:pPr>
      <w:r>
        <w:t xml:space="preserve">prior-aware diff/update,</w:t>
      </w:r>
    </w:p>
    <w:p>
      <w:pPr>
        <w:pStyle w:val="Compact"/>
        <w:numPr>
          <w:ilvl w:val="0"/>
          <w:numId w:val="1085"/>
        </w:numPr>
      </w:pPr>
      <w:r>
        <w:t xml:space="preserve">physician editing,</w:t>
      </w:r>
    </w:p>
    <w:p>
      <w:pPr>
        <w:pStyle w:val="Compact"/>
        <w:numPr>
          <w:ilvl w:val="0"/>
          <w:numId w:val="1085"/>
        </w:numPr>
      </w:pPr>
      <w:r>
        <w:t xml:space="preserve">synoptic summary.</w:t>
      </w:r>
    </w:p>
    <w:bookmarkEnd w:id="166"/>
    <w:bookmarkStart w:id="167" w:name="phase-6---key-images"/>
    <w:p>
      <w:pPr>
        <w:pStyle w:val="Heading2"/>
      </w:pPr>
      <w:r>
        <w:t xml:space="preserve">Phase 6 - Key images</w:t>
      </w:r>
    </w:p>
    <w:p>
      <w:pPr>
        <w:pStyle w:val="Compact"/>
        <w:numPr>
          <w:ilvl w:val="0"/>
          <w:numId w:val="1086"/>
        </w:numPr>
      </w:pPr>
      <w:r>
        <w:t xml:space="preserve">star selection,</w:t>
      </w:r>
    </w:p>
    <w:p>
      <w:pPr>
        <w:pStyle w:val="Compact"/>
        <w:numPr>
          <w:ilvl w:val="0"/>
          <w:numId w:val="1086"/>
        </w:numPr>
      </w:pPr>
      <w:r>
        <w:t xml:space="preserve">deterministic snapshot capture,</w:t>
      </w:r>
    </w:p>
    <w:p>
      <w:pPr>
        <w:pStyle w:val="Compact"/>
        <w:numPr>
          <w:ilvl w:val="0"/>
          <w:numId w:val="1086"/>
        </w:numPr>
      </w:pPr>
      <w:r>
        <w:t xml:space="preserve">longitudinal composites,</w:t>
      </w:r>
    </w:p>
    <w:p>
      <w:pPr>
        <w:pStyle w:val="Compact"/>
        <w:numPr>
          <w:ilvl w:val="0"/>
          <w:numId w:val="1086"/>
        </w:numPr>
      </w:pPr>
      <w:r>
        <w:t xml:space="preserve">captions,</w:t>
      </w:r>
    </w:p>
    <w:p>
      <w:pPr>
        <w:pStyle w:val="Compact"/>
        <w:numPr>
          <w:ilvl w:val="0"/>
          <w:numId w:val="1086"/>
        </w:numPr>
      </w:pPr>
      <w:r>
        <w:t xml:space="preserve">Word/PDF integration.</w:t>
      </w:r>
    </w:p>
    <w:bookmarkEnd w:id="167"/>
    <w:bookmarkStart w:id="168" w:name="phase-7---validation-and-hardening"/>
    <w:p>
      <w:pPr>
        <w:pStyle w:val="Heading2"/>
      </w:pPr>
      <w:r>
        <w:t xml:space="preserve">Phase 7 - Validation and hardening</w:t>
      </w:r>
    </w:p>
    <w:p>
      <w:pPr>
        <w:pStyle w:val="Compact"/>
        <w:numPr>
          <w:ilvl w:val="0"/>
          <w:numId w:val="1087"/>
        </w:numPr>
      </w:pPr>
      <w:r>
        <w:t xml:space="preserve">conflict checker,</w:t>
      </w:r>
    </w:p>
    <w:p>
      <w:pPr>
        <w:pStyle w:val="Compact"/>
        <w:numPr>
          <w:ilvl w:val="0"/>
          <w:numId w:val="1087"/>
        </w:numPr>
      </w:pPr>
      <w:r>
        <w:t xml:space="preserve">sign-off workflow,</w:t>
      </w:r>
    </w:p>
    <w:p>
      <w:pPr>
        <w:pStyle w:val="Compact"/>
        <w:numPr>
          <w:ilvl w:val="0"/>
          <w:numId w:val="1087"/>
        </w:numPr>
      </w:pPr>
      <w:r>
        <w:t xml:space="preserve">audit/versioning,</w:t>
      </w:r>
    </w:p>
    <w:p>
      <w:pPr>
        <w:pStyle w:val="Compact"/>
        <w:numPr>
          <w:ilvl w:val="0"/>
          <w:numId w:val="1087"/>
        </w:numPr>
      </w:pPr>
      <w:r>
        <w:t xml:space="preserve">offline/failure behavior,</w:t>
      </w:r>
    </w:p>
    <w:p>
      <w:pPr>
        <w:pStyle w:val="Compact"/>
        <w:numPr>
          <w:ilvl w:val="0"/>
          <w:numId w:val="1087"/>
        </w:numPr>
      </w:pPr>
      <w:r>
        <w:t xml:space="preserve">performance optimization,</w:t>
      </w:r>
    </w:p>
    <w:p>
      <w:pPr>
        <w:pStyle w:val="Compact"/>
        <w:numPr>
          <w:ilvl w:val="0"/>
          <w:numId w:val="1087"/>
        </w:numPr>
      </w:pPr>
      <w:r>
        <w:t xml:space="preserve">end-to-end clinical usability testing.</w:t>
      </w:r>
    </w:p>
    <w:bookmarkEnd w:id="168"/>
    <w:bookmarkEnd w:id="169"/>
    <w:bookmarkStart w:id="170" w:name="non-goals-for-first-implementation"/>
    <w:p>
      <w:pPr>
        <w:pStyle w:val="Heading1"/>
      </w:pPr>
      <w:r>
        <w:t xml:space="preserve">39. Non-goals for first implementation</w:t>
      </w:r>
    </w:p>
    <w:p>
      <w:pPr>
        <w:pStyle w:val="FirstParagraph"/>
      </w:pPr>
      <w:r>
        <w:t xml:space="preserve">Unless already present, do not delay the core clinical workflow for:</w:t>
      </w:r>
    </w:p>
    <w:p>
      <w:pPr>
        <w:pStyle w:val="Compact"/>
        <w:numPr>
          <w:ilvl w:val="0"/>
          <w:numId w:val="1088"/>
        </w:numPr>
      </w:pPr>
      <w:r>
        <w:t xml:space="preserve">decorative 3D rendering,</w:t>
      </w:r>
    </w:p>
    <w:p>
      <w:pPr>
        <w:pStyle w:val="Compact"/>
        <w:numPr>
          <w:ilvl w:val="0"/>
          <w:numId w:val="1088"/>
        </w:numPr>
      </w:pPr>
      <w:r>
        <w:t xml:space="preserve">complex longitudinal graphs always visible during reading,</w:t>
      </w:r>
    </w:p>
    <w:p>
      <w:pPr>
        <w:pStyle w:val="Compact"/>
        <w:numPr>
          <w:ilvl w:val="0"/>
          <w:numId w:val="1088"/>
        </w:numPr>
      </w:pPr>
      <w:r>
        <w:t xml:space="preserve">fully autonomous report signing,</w:t>
      </w:r>
    </w:p>
    <w:p>
      <w:pPr>
        <w:pStyle w:val="Compact"/>
        <w:numPr>
          <w:ilvl w:val="0"/>
          <w:numId w:val="1088"/>
        </w:numPr>
      </w:pPr>
      <w:r>
        <w:t xml:space="preserve">autonomous treatment recommendation,</w:t>
      </w:r>
    </w:p>
    <w:p>
      <w:pPr>
        <w:pStyle w:val="Compact"/>
        <w:numPr>
          <w:ilvl w:val="0"/>
          <w:numId w:val="1088"/>
        </w:numPr>
      </w:pPr>
      <w:r>
        <w:t xml:space="preserve">LLM-derived staging without deterministic validation,</w:t>
      </w:r>
    </w:p>
    <w:p>
      <w:pPr>
        <w:pStyle w:val="Compact"/>
        <w:numPr>
          <w:ilvl w:val="0"/>
          <w:numId w:val="1088"/>
        </w:numPr>
      </w:pPr>
      <w:r>
        <w:t xml:space="preserve">exhaustive manual lesion confirmation in every disseminated case,</w:t>
      </w:r>
    </w:p>
    <w:p>
      <w:pPr>
        <w:pStyle w:val="Compact"/>
        <w:numPr>
          <w:ilvl w:val="0"/>
          <w:numId w:val="1088"/>
        </w:numPr>
      </w:pPr>
      <w:r>
        <w:t xml:space="preserve">automatic export into every possible institutional system before core workflow validation.</w:t>
      </w:r>
    </w:p>
    <w:bookmarkEnd w:id="170"/>
    <w:bookmarkStart w:id="171" w:name="final-intended-user-experience"/>
    <w:p>
      <w:pPr>
        <w:pStyle w:val="Heading1"/>
      </w:pPr>
      <w:r>
        <w:t xml:space="preserve">40. Final intended user experience</w:t>
      </w:r>
    </w:p>
    <w:p>
      <w:pPr>
        <w:pStyle w:val="FirstParagraph"/>
      </w:pPr>
      <w:r>
        <w:t xml:space="preserve">A typical BCR case should feel like:</w:t>
      </w:r>
    </w:p>
    <w:p>
      <w:pPr>
        <w:pStyle w:val="BodyText"/>
      </w:pPr>
      <w:r>
        <w:rPr>
          <w:rStyle w:val="VerbatimChar"/>
        </w:rPr>
        <w:t xml:space="preserve">open case -&gt; confirm BCR profile -&gt; dictate/confirm history -&gt; review current/prior images -&gt; handle only relevant findings -&gt; dictate interpretation as needed -&gt; confirm miTNM -&gt; generate report -&gt; validate conflicts -&gt; review 3-5 key images -&gt; sign</w:t>
      </w:r>
    </w:p>
    <w:p>
      <w:pPr>
        <w:pStyle w:val="BodyText"/>
      </w:pPr>
      <w:r>
        <w:t xml:space="preserve">A typical post-RLT case should feel like:</w:t>
      </w:r>
    </w:p>
    <w:p>
      <w:pPr>
        <w:pStyle w:val="BodyText"/>
      </w:pPr>
      <w:r>
        <w:rPr>
          <w:rStyle w:val="VerbatimChar"/>
        </w:rPr>
        <w:t xml:space="preserve">open case -&gt; baseline automatically identified -&gt; M1 current, M2 current vs baseline -&gt; review new/changed/uncertain findings -&gt; toggle previous comparison when needed -&gt; confirm response metrics/classification -&gt; dictate overall interpretation -&gt; generate/update report -&gt; validate -&gt; sign</w:t>
      </w:r>
    </w:p>
    <w:p>
      <w:pPr>
        <w:pStyle w:val="BodyText"/>
      </w:pPr>
      <w:r>
        <w:t xml:space="preserve">The core product philosophy is:</w:t>
      </w:r>
    </w:p>
    <w:p>
      <w:pPr>
        <w:pStyle w:val="BodyText"/>
      </w:pPr>
      <w:r>
        <w:rPr>
          <w:b/>
          <w:bCs/>
        </w:rPr>
        <w:t xml:space="preserve">The physician reads images and makes medical decisions. The software measures, remembers, compares, calculates, structures, and documents. The LLM formulates language from physician-validated facts.</w:t>
      </w:r>
    </w:p>
    <w:bookmarkEnd w:id="171"/>
    <w:sectPr>
      <w:headerReference r:id="rId9" w:type="default"/>
      <w:footerReference r:id="rId10" w:type="default"/>
      <w:pgMar w:bottom="936" w:footer="432" w:header="432" w:left="1080" w:right="1080" w:top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ptos" w:hAnsi="Aptos"/>
        <w:color w:val="6E6E6E"/>
        <w:sz w:val="15"/>
      </w:rPr>
      <w:t xml:space="preserve">Page </w:t>
    </w:r>
    <w:fldSimple w:instr="PAGE"/>
    <w:r>
      <w:rPr>
        <w:rFonts w:ascii="Aptos" w:hAnsi="Aptos"/>
        <w:color w:val="6E6E6E"/>
        <w:sz w:val="15"/>
      </w:rPr>
      <w:t xml:space="preserve"> of </w:t>
    </w:r>
    <w:fldSimple w:instr="NUMPAGES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5"/>
      </w:rPr>
    </w:r>
    <w:r>
      <w:t>PSMA PET/CT Clinical Reporting Mode | Software Specification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hAnsi="Aptos"/>
      <w:sz w:val="19"/>
    </w:rPr>
  </w:style>
  <w:style w:customStyle="1" w:styleId="FirstParagraph" w:type="paragraph">
    <w:name w:val="First Paragraph"/>
    <w:basedOn w:val="BodyText"/>
    <w:next w:val="BodyText"/>
    <w:qFormat/>
    <w:rPr>
      <w:rFonts w:ascii="Aptos" w:hAnsi="Aptos"/>
      <w:sz w:val="19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ptos Display" w:asciiTheme="majorHAnsi" w:cstheme="majorBidi" w:eastAsiaTheme="majorEastAsia" w:hAnsi="Aptos Display" w:hAnsiTheme="majorHAnsi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ptos Display" w:hAnsi="Aptos Display"/>
      <w:b w:val="0"/>
      <w:color w:val="1F4E79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F4E7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F4E79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2D2D2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CodeInlineBlockCustom" w:type="paragraph">
    <w:name w:val="CodeInlineBlockCustom"/>
    <w:pPr>
      <w:spacing w:after="100" w:before="60"/>
      <w:ind w:left="288" w:right="288"/>
    </w:pPr>
    <w:rPr>
      <w:rFonts w:ascii="Consolas" w:hAnsi="Consolas"/>
      <w:sz w:val="17"/>
    </w:rPr>
  </w:style>
  <w:style w:customStyle="1" w:styleId="TOCCompactCustom" w:type="paragraph">
    <w:name w:val="TOCCompactCustom"/>
    <w:pPr>
      <w:spacing w:after="20" w:before="0"/>
      <w:ind w:left="72"/>
    </w:pPr>
    <w:rPr>
      <w:rFonts w:ascii="Aptos" w:hAnsi="Apto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PSMA PET/CT Clinical Reporting Mode</dc:title>
  <dc:creator>Developer handoff specification</dc:creator>
  <cp:keywords/>
  <dcterms:created xsi:type="dcterms:W3CDTF">2026-09-13T15:19:27Z</dcterms:created>
  <dcterms:modified xsi:type="dcterms:W3CDTF">2026-09-13T15:19:27Z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2026-09-13</vt:lpwstr>
  </property>
  <property fmtid="{D5CDD505-2E9C-101B-9397-08002B2CF9AE}" pid="3" name="subtitle">
    <vt:lpwstr>Software Requirements, UX Workflow and Semi-Structured Reporting Specification</vt:lpwstr>
  </property>
  <property fmtid="{D5CDD505-2E9C-101B-9397-08002B2CF9AE}" pid="4" name="version">
    <vt:lpwstr>1.0</vt:lpwstr>
  </property>
</Properties>
</file>