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3.jpg" ContentType="image/jpeg"/>
  <Override PartName="/word/media/rId76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арифметических инструкций языка ассемблера NASM.</w:t>
      </w:r>
    </w:p>
    <w:bookmarkEnd w:id="20"/>
    <w:bookmarkStart w:id="72" w:name="X48a541ed4f0a86b6e003f37ef02506145de72e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Результаты выполнения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каталог для программ лабораторной №6, переходим в него и создаем файл lab6-1.asm (Рис. 1).</w:t>
      </w:r>
    </w:p>
    <w:p>
      <w:pPr>
        <w:pStyle w:val="CaptionedFigure"/>
      </w:pPr>
      <w:r>
        <w:drawing>
          <wp:inline>
            <wp:extent cx="3733800" cy="827952"/>
            <wp:effectExtent b="0" l="0" r="0" t="0"/>
            <wp:docPr descr="Рис. 1: Создание каталога и lab6-1.asm" title="" id="22" name="Picture"/>
            <a:graphic>
              <a:graphicData uri="http://schemas.openxmlformats.org/drawingml/2006/picture">
                <pic:pic>
                  <pic:nvPicPr>
                    <pic:cNvPr descr="image/im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7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lab6-1.asm</w:t>
      </w:r>
    </w:p>
    <w:p>
      <w:pPr>
        <w:numPr>
          <w:ilvl w:val="0"/>
          <w:numId w:val="1002"/>
        </w:numPr>
        <w:pStyle w:val="Compact"/>
      </w:pPr>
      <w:r>
        <w:t xml:space="preserve">Записываем в файл программу из листинга 6.1. (Рис. 2).</w:t>
      </w:r>
    </w:p>
    <w:p>
      <w:pPr>
        <w:pStyle w:val="CaptionedFigure"/>
      </w:pPr>
      <w:r>
        <w:drawing>
          <wp:inline>
            <wp:extent cx="3733800" cy="2193175"/>
            <wp:effectExtent b="0" l="0" r="0" t="0"/>
            <wp:docPr descr="Рис. 2: lab6-1.asm из листинга 6.1." title="" id="25" name="Picture"/>
            <a:graphic>
              <a:graphicData uri="http://schemas.openxmlformats.org/drawingml/2006/picture">
                <pic:pic>
                  <pic:nvPicPr>
                    <pic:cNvPr descr="image/im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3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lab6-1.asm из листинга 6.1.</w:t>
      </w:r>
    </w:p>
    <w:p>
      <w:pPr>
        <w:numPr>
          <w:ilvl w:val="0"/>
          <w:numId w:val="1003"/>
        </w:numPr>
        <w:pStyle w:val="Compact"/>
      </w:pPr>
      <w:r>
        <w:t xml:space="preserve">Создаем исполняемый файл и запускаем его (Рис. 3).</w:t>
      </w:r>
    </w:p>
    <w:p>
      <w:pPr>
        <w:pStyle w:val="CaptionedFigure"/>
      </w:pPr>
      <w:r>
        <w:drawing>
          <wp:inline>
            <wp:extent cx="3733800" cy="901195"/>
            <wp:effectExtent b="0" l="0" r="0" t="0"/>
            <wp:docPr descr="Рис. 3: Запуск lab6-1.asm из листинга 6.1." title="" id="28" name="Picture"/>
            <a:graphic>
              <a:graphicData uri="http://schemas.openxmlformats.org/drawingml/2006/picture">
                <pic:pic>
                  <pic:nvPicPr>
                    <pic:cNvPr descr="image/im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lab6-1.asm из листинга 6.1.</w:t>
      </w:r>
    </w:p>
    <w:p>
      <w:pPr>
        <w:numPr>
          <w:ilvl w:val="0"/>
          <w:numId w:val="1004"/>
        </w:numPr>
        <w:pStyle w:val="Compact"/>
      </w:pPr>
      <w:r>
        <w:t xml:space="preserve">Изменяем текст программы, вместо символов записываем в регистры числа (Рис. 4)</w:t>
      </w:r>
    </w:p>
    <w:p>
      <w:pPr>
        <w:pStyle w:val="CaptionedFigure"/>
      </w:pPr>
      <w:r>
        <w:drawing>
          <wp:inline>
            <wp:extent cx="3733800" cy="3441770"/>
            <wp:effectExtent b="0" l="0" r="0" t="0"/>
            <wp:docPr descr="Рис. 4: Измененный lab6-1.asm" title="" id="31" name="Picture"/>
            <a:graphic>
              <a:graphicData uri="http://schemas.openxmlformats.org/drawingml/2006/picture">
                <pic:pic>
                  <pic:nvPicPr>
                    <pic:cNvPr descr="image/im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1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Измененный lab6-1.asm</w:t>
      </w:r>
    </w:p>
    <w:p>
      <w:pPr>
        <w:numPr>
          <w:ilvl w:val="0"/>
          <w:numId w:val="1005"/>
        </w:numPr>
        <w:pStyle w:val="Compact"/>
      </w:pPr>
      <w:r>
        <w:t xml:space="preserve">Создаем исполняемый файл и запускаем его (Рис. 5).</w:t>
      </w:r>
    </w:p>
    <w:p>
      <w:pPr>
        <w:pStyle w:val="CaptionedFigure"/>
      </w:pPr>
      <w:r>
        <w:drawing>
          <wp:inline>
            <wp:extent cx="3733800" cy="724929"/>
            <wp:effectExtent b="0" l="0" r="0" t="0"/>
            <wp:docPr descr="Рис. 5: Запукс измененного lab6-1.asm" title="" id="34" name="Picture"/>
            <a:graphic>
              <a:graphicData uri="http://schemas.openxmlformats.org/drawingml/2006/picture">
                <pic:pic>
                  <pic:nvPicPr>
                    <pic:cNvPr descr="image/im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Запукс измененного lab6-1.asm</w:t>
      </w:r>
    </w:p>
    <w:p>
      <w:pPr>
        <w:pStyle w:val="BodyText"/>
      </w:pPr>
      <w:r>
        <w:t xml:space="preserve">По таблице ASCII это символ переноса строки \n (Рис. 6).</w:t>
      </w:r>
    </w:p>
    <w:p>
      <w:pPr>
        <w:pStyle w:val="CaptionedFigure"/>
      </w:pPr>
      <w:r>
        <w:drawing>
          <wp:inline>
            <wp:extent cx="3733800" cy="2588086"/>
            <wp:effectExtent b="0" l="0" r="0" t="0"/>
            <wp:docPr descr="Рис. 6: Символ переноса строки" title="" id="37" name="Picture"/>
            <a:graphic>
              <a:graphicData uri="http://schemas.openxmlformats.org/drawingml/2006/picture">
                <pic:pic>
                  <pic:nvPicPr>
                    <pic:cNvPr descr="image/im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Символ переноса строки</w:t>
      </w:r>
    </w:p>
    <w:p>
      <w:pPr>
        <w:pStyle w:val="BodyText"/>
      </w:pPr>
      <w:r>
        <w:t xml:space="preserve">Он отображается при выводе на экран, так как видно, что после запуска программы образуются две пустые строки.</w:t>
      </w:r>
    </w:p>
    <w:p>
      <w:pPr>
        <w:numPr>
          <w:ilvl w:val="0"/>
          <w:numId w:val="1006"/>
        </w:numPr>
        <w:pStyle w:val="Compact"/>
      </w:pPr>
      <w:r>
        <w:t xml:space="preserve">Создаем lab6-2.asm по листингу 6.2. (Рис. 7).</w:t>
      </w:r>
    </w:p>
    <w:p>
      <w:pPr>
        <w:pStyle w:val="CaptionedFigure"/>
      </w:pPr>
      <w:r>
        <w:drawing>
          <wp:inline>
            <wp:extent cx="3733800" cy="4147999"/>
            <wp:effectExtent b="0" l="0" r="0" t="0"/>
            <wp:docPr descr="Рис. 7: lab6-2.asm из листинга 6.2." title="" id="40" name="Picture"/>
            <a:graphic>
              <a:graphicData uri="http://schemas.openxmlformats.org/drawingml/2006/picture">
                <pic:pic>
                  <pic:nvPicPr>
                    <pic:cNvPr descr="image/im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lab6-2.asm из листинга 6.2.</w:t>
      </w:r>
    </w:p>
    <w:p>
      <w:pPr>
        <w:numPr>
          <w:ilvl w:val="0"/>
          <w:numId w:val="1007"/>
        </w:numPr>
        <w:pStyle w:val="Compact"/>
      </w:pPr>
      <w:r>
        <w:t xml:space="preserve">Создаем исполняемый файл и запускаем его (Рис. 8).</w:t>
      </w:r>
    </w:p>
    <w:p>
      <w:pPr>
        <w:pStyle w:val="CaptionedFigure"/>
      </w:pPr>
      <w:r>
        <w:drawing>
          <wp:inline>
            <wp:extent cx="3733800" cy="846521"/>
            <wp:effectExtent b="0" l="0" r="0" t="0"/>
            <wp:docPr descr="Рис. 8: Запуск lab6-2.asm из листинга 6.2." title="" id="43" name="Picture"/>
            <a:graphic>
              <a:graphicData uri="http://schemas.openxmlformats.org/drawingml/2006/picture">
                <pic:pic>
                  <pic:nvPicPr>
                    <pic:cNvPr descr="image/im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6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lab6-2.asm из листинга 6.2.</w:t>
      </w:r>
    </w:p>
    <w:p>
      <w:pPr>
        <w:numPr>
          <w:ilvl w:val="0"/>
          <w:numId w:val="1008"/>
        </w:numPr>
        <w:pStyle w:val="Compact"/>
      </w:pPr>
      <w:r>
        <w:t xml:space="preserve">Изменяем символы на числа.</w:t>
      </w:r>
    </w:p>
    <w:p>
      <w:pPr>
        <w:pStyle w:val="CaptionedFigure"/>
      </w:pPr>
      <w:r>
        <w:drawing>
          <wp:inline>
            <wp:extent cx="3733800" cy="3655358"/>
            <wp:effectExtent b="0" l="0" r="0" t="0"/>
            <wp:docPr descr="Рис. 9: Измененный lab6-2.asm" title="" id="46" name="Picture"/>
            <a:graphic>
              <a:graphicData uri="http://schemas.openxmlformats.org/drawingml/2006/picture">
                <pic:pic>
                  <pic:nvPicPr>
                    <pic:cNvPr descr="image/im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Измененный lab6-2.asm</w:t>
      </w:r>
    </w:p>
    <w:p>
      <w:pPr>
        <w:numPr>
          <w:ilvl w:val="0"/>
          <w:numId w:val="1009"/>
        </w:numPr>
        <w:pStyle w:val="Compact"/>
      </w:pPr>
      <w:r>
        <w:t xml:space="preserve">Создаем исполняемый файл и запускаем его (Рис. 10).</w:t>
      </w:r>
    </w:p>
    <w:p>
      <w:pPr>
        <w:pStyle w:val="CaptionedFigure"/>
      </w:pPr>
      <w:r>
        <w:drawing>
          <wp:inline>
            <wp:extent cx="3733800" cy="535191"/>
            <wp:effectExtent b="0" l="0" r="0" t="0"/>
            <wp:docPr descr="Рис. 10: Запукс измененного lab6-2.asm" title="" id="49" name="Picture"/>
            <a:graphic>
              <a:graphicData uri="http://schemas.openxmlformats.org/drawingml/2006/picture">
                <pic:pic>
                  <pic:nvPicPr>
                    <pic:cNvPr descr="image/im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5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Запукс измененного lab6-2.asm</w:t>
      </w:r>
    </w:p>
    <w:p>
      <w:pPr>
        <w:pStyle w:val="BodyText"/>
      </w:pPr>
      <w:r>
        <w:t xml:space="preserve">В результате выведется число 10, а не символ, кодом которого является это число.</w:t>
      </w:r>
    </w:p>
    <w:p>
      <w:pPr>
        <w:numPr>
          <w:ilvl w:val="0"/>
          <w:numId w:val="1010"/>
        </w:numPr>
        <w:pStyle w:val="Compact"/>
      </w:pPr>
      <w:r>
        <w:t xml:space="preserve">Заменяем iprintLF на iprint, создаем исполняемый файл и запускаем его (Рис. 11).</w:t>
      </w:r>
    </w:p>
    <w:p>
      <w:pPr>
        <w:pStyle w:val="CaptionedFigure"/>
      </w:pPr>
      <w:r>
        <w:drawing>
          <wp:inline>
            <wp:extent cx="3733800" cy="403876"/>
            <wp:effectExtent b="0" l="0" r="0" t="0"/>
            <wp:docPr descr="Рис. 11: Работа файла с iprint" title="" id="52" name="Picture"/>
            <a:graphic>
              <a:graphicData uri="http://schemas.openxmlformats.org/drawingml/2006/picture">
                <pic:pic>
                  <pic:nvPicPr>
                    <pic:cNvPr descr="image/im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Работа файла с iprint</w:t>
      </w:r>
    </w:p>
    <w:p>
      <w:pPr>
        <w:pStyle w:val="BodyText"/>
      </w:pPr>
      <w:r>
        <w:t xml:space="preserve">Функция iprint выводит без переноса строки.</w:t>
      </w:r>
    </w:p>
    <w:p>
      <w:pPr>
        <w:numPr>
          <w:ilvl w:val="0"/>
          <w:numId w:val="1011"/>
        </w:numPr>
        <w:pStyle w:val="Compact"/>
      </w:pPr>
      <w:r>
        <w:t xml:space="preserve">Создаем lab6-3.asm по листингу 6.3. (Рис. 12).</w:t>
      </w:r>
    </w:p>
    <w:p>
      <w:pPr>
        <w:pStyle w:val="CaptionedFigure"/>
      </w:pPr>
      <w:r>
        <w:drawing>
          <wp:inline>
            <wp:extent cx="3733800" cy="3612074"/>
            <wp:effectExtent b="0" l="0" r="0" t="0"/>
            <wp:docPr descr="Рис. 12: lab6-3.asm из листинга 6.3." title="" id="55" name="Picture"/>
            <a:graphic>
              <a:graphicData uri="http://schemas.openxmlformats.org/drawingml/2006/picture">
                <pic:pic>
                  <pic:nvPicPr>
                    <pic:cNvPr descr="image/im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2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lab6-3.asm из листинга 6.3.</w:t>
      </w:r>
    </w:p>
    <w:p>
      <w:pPr>
        <w:numPr>
          <w:ilvl w:val="0"/>
          <w:numId w:val="1012"/>
        </w:numPr>
        <w:pStyle w:val="Compact"/>
      </w:pPr>
      <w:r>
        <w:t xml:space="preserve">Создаем исполняемый файл и запускаем его (Рис. 13).</w:t>
      </w:r>
    </w:p>
    <w:p>
      <w:pPr>
        <w:pStyle w:val="CaptionedFigure"/>
      </w:pPr>
      <w:r>
        <w:drawing>
          <wp:inline>
            <wp:extent cx="3733800" cy="1059056"/>
            <wp:effectExtent b="0" l="0" r="0" t="0"/>
            <wp:docPr descr="Рис. 13: Запуск lab6-3.asm из листинга 6.3." title="" id="58" name="Picture"/>
            <a:graphic>
              <a:graphicData uri="http://schemas.openxmlformats.org/drawingml/2006/picture">
                <pic:pic>
                  <pic:nvPicPr>
                    <pic:cNvPr descr="image/im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lab6-3.asm из листинга 6.3.</w:t>
      </w:r>
    </w:p>
    <w:p>
      <w:pPr>
        <w:numPr>
          <w:ilvl w:val="0"/>
          <w:numId w:val="1013"/>
        </w:numPr>
        <w:pStyle w:val="Compact"/>
      </w:pPr>
      <w:r>
        <w:t xml:space="preserve">Изменяем текст для вычисления (4*6+2)/5 (Рис. 14).</w:t>
      </w:r>
    </w:p>
    <w:p>
      <w:pPr>
        <w:pStyle w:val="CaptionedFigure"/>
      </w:pPr>
      <w:r>
        <w:drawing>
          <wp:inline>
            <wp:extent cx="3733800" cy="1471065"/>
            <wp:effectExtent b="0" l="0" r="0" t="0"/>
            <wp:docPr descr="Рис. 14: Измененный lab6-3.asm" title="" id="61" name="Picture"/>
            <a:graphic>
              <a:graphicData uri="http://schemas.openxmlformats.org/drawingml/2006/picture">
                <pic:pic>
                  <pic:nvPicPr>
                    <pic:cNvPr descr="image/im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1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Измененный lab6-3.asm</w:t>
      </w:r>
    </w:p>
    <w:p>
      <w:pPr>
        <w:numPr>
          <w:ilvl w:val="0"/>
          <w:numId w:val="1014"/>
        </w:numPr>
        <w:pStyle w:val="Compact"/>
      </w:pPr>
      <w:r>
        <w:t xml:space="preserve">Создаем исполняемый файл и запускаем его (Рис. 15).</w:t>
      </w:r>
    </w:p>
    <w:p>
      <w:pPr>
        <w:pStyle w:val="CaptionedFigure"/>
      </w:pPr>
      <w:r>
        <w:drawing>
          <wp:inline>
            <wp:extent cx="3733800" cy="632287"/>
            <wp:effectExtent b="0" l="0" r="0" t="0"/>
            <wp:docPr descr="Рис. 15: Запуск измененного lab6-3.asm" title="" id="64" name="Picture"/>
            <a:graphic>
              <a:graphicData uri="http://schemas.openxmlformats.org/drawingml/2006/picture">
                <pic:pic>
                  <pic:nvPicPr>
                    <pic:cNvPr descr="image/im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измененного lab6-3.asm</w:t>
      </w:r>
    </w:p>
    <w:p>
      <w:pPr>
        <w:numPr>
          <w:ilvl w:val="0"/>
          <w:numId w:val="1015"/>
        </w:numPr>
        <w:pStyle w:val="Compact"/>
      </w:pPr>
      <w:r>
        <w:t xml:space="preserve">Создаем variant.asm по листингу 6.4. (Рис. 16).</w:t>
      </w:r>
    </w:p>
    <w:p>
      <w:pPr>
        <w:pStyle w:val="CaptionedFigure"/>
      </w:pPr>
      <w:r>
        <w:drawing>
          <wp:inline>
            <wp:extent cx="3733800" cy="4125128"/>
            <wp:effectExtent b="0" l="0" r="0" t="0"/>
            <wp:docPr descr="Рис. 16: variant.asm из листинга 6.4." title="" id="67" name="Picture"/>
            <a:graphic>
              <a:graphicData uri="http://schemas.openxmlformats.org/drawingml/2006/picture">
                <pic:pic>
                  <pic:nvPicPr>
                    <pic:cNvPr descr="image/im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variant.asm из листинга 6.4.</w:t>
      </w:r>
    </w:p>
    <w:p>
      <w:pPr>
        <w:numPr>
          <w:ilvl w:val="0"/>
          <w:numId w:val="1016"/>
        </w:numPr>
        <w:pStyle w:val="Compact"/>
      </w:pPr>
      <w:r>
        <w:t xml:space="preserve">Создаем исполняемый файл и запускаем его (Рис. 17).</w:t>
      </w:r>
    </w:p>
    <w:p>
      <w:pPr>
        <w:pStyle w:val="CaptionedFigure"/>
      </w:pPr>
      <w:r>
        <w:drawing>
          <wp:inline>
            <wp:extent cx="3733800" cy="1047236"/>
            <wp:effectExtent b="0" l="0" r="0" t="0"/>
            <wp:docPr descr="Рис. 17: Запуск variant.asm из листинга 6.4." title="" id="70" name="Picture"/>
            <a:graphic>
              <a:graphicData uri="http://schemas.openxmlformats.org/drawingml/2006/picture">
                <pic:pic>
                  <pic:nvPicPr>
                    <pic:cNvPr descr="image/im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variant.asm из листинга 6.4.</w:t>
      </w:r>
    </w:p>
    <w:p>
      <w:pPr>
        <w:pStyle w:val="BodyText"/>
      </w:pPr>
      <w:r>
        <w:t xml:space="preserve">Проверим. Остаток от деления последних цифр 02 на 20 это 2. 2 + 1 это 3. Следовательно вариант 3.</w:t>
      </w:r>
    </w:p>
    <w:p>
      <w:pPr>
        <w:pStyle w:val="BodyText"/>
      </w:pPr>
      <w:r>
        <w:rPr>
          <w:bCs/>
          <w:b/>
        </w:rPr>
        <w:t xml:space="preserve">Ответы на вопросы:</w:t>
      </w:r>
    </w:p>
    <w:p>
      <w:pPr>
        <w:numPr>
          <w:ilvl w:val="0"/>
          <w:numId w:val="1017"/>
        </w:numPr>
        <w:pStyle w:val="Compact"/>
      </w:pPr>
      <w:r>
        <w:t xml:space="preserve">Строки</w:t>
      </w:r>
    </w:p>
    <w:p>
      <w:pPr>
        <w:pStyle w:val="SourceCode"/>
      </w:pPr>
      <w:r>
        <w:rPr>
          <w:rStyle w:val="VerbatimChar"/>
        </w:rPr>
        <w:t xml:space="preserve">mov eax,rem</w:t>
      </w:r>
      <w:r>
        <w:br/>
      </w:r>
      <w:r>
        <w:rPr>
          <w:rStyle w:val="VerbatimChar"/>
        </w:rPr>
        <w:t xml:space="preserve">call sprint</w:t>
      </w:r>
    </w:p>
    <w:p>
      <w:pPr>
        <w:numPr>
          <w:ilvl w:val="0"/>
          <w:numId w:val="1018"/>
        </w:numPr>
      </w:pPr>
      <w:r>
        <w:t xml:space="preserve">Для записи адреса переменной в</w:t>
      </w:r>
      <w:r>
        <w:t xml:space="preserve"> </w:t>
      </w:r>
      <w:r>
        <w:t xml:space="preserve">‘</w:t>
      </w:r>
      <w:r>
        <w:t xml:space="preserve">EAX</w:t>
      </w:r>
      <w:r>
        <w:t xml:space="preserve">’</w:t>
      </w:r>
      <w:r>
        <w:t xml:space="preserve">, записи длины вводимого сообщения в</w:t>
      </w:r>
      <w:r>
        <w:t xml:space="preserve"> </w:t>
      </w:r>
      <w:r>
        <w:t xml:space="preserve">‘</w:t>
      </w:r>
      <w:r>
        <w:t xml:space="preserve">EBX</w:t>
      </w:r>
      <w:r>
        <w:t xml:space="preserve">’</w:t>
      </w:r>
      <w:r>
        <w:t xml:space="preserve"> </w:t>
      </w:r>
      <w:r>
        <w:t xml:space="preserve">и вызова подпрограммы ввода сообщения.</w:t>
      </w:r>
    </w:p>
    <w:p>
      <w:pPr>
        <w:numPr>
          <w:ilvl w:val="0"/>
          <w:numId w:val="1018"/>
        </w:numPr>
      </w:pPr>
      <w:r>
        <w:t xml:space="preserve">Для преобразования символов ASCII кода в числа.</w:t>
      </w:r>
    </w:p>
    <w:p>
      <w:pPr>
        <w:numPr>
          <w:ilvl w:val="0"/>
          <w:numId w:val="1018"/>
        </w:numPr>
      </w:pPr>
      <w:r>
        <w:t xml:space="preserve">Строки</w:t>
      </w:r>
    </w:p>
    <w:p>
      <w:pPr>
        <w:pStyle w:val="SourceCode"/>
      </w:pPr>
      <w:r>
        <w:rPr>
          <w:rStyle w:val="VerbatimChar"/>
        </w:rPr>
        <w:t xml:space="preserve">xor edx,edx</w:t>
      </w:r>
      <w:r>
        <w:br/>
      </w:r>
      <w:r>
        <w:rPr>
          <w:rStyle w:val="VerbatimChar"/>
        </w:rPr>
        <w:t xml:space="preserve">mov ebx,20</w:t>
      </w:r>
      <w:r>
        <w:br/>
      </w:r>
      <w:r>
        <w:rPr>
          <w:rStyle w:val="VerbatimChar"/>
        </w:rPr>
        <w:t xml:space="preserve">div ebx</w:t>
      </w:r>
      <w:r>
        <w:br/>
      </w:r>
      <w:r>
        <w:rPr>
          <w:rStyle w:val="VerbatimChar"/>
        </w:rPr>
        <w:t xml:space="preserve">inc edx</w:t>
      </w:r>
    </w:p>
    <w:p>
      <w:pPr>
        <w:numPr>
          <w:ilvl w:val="0"/>
          <w:numId w:val="1019"/>
        </w:numPr>
      </w:pPr>
      <w:r>
        <w:t xml:space="preserve">В регистр edx.</w:t>
      </w:r>
    </w:p>
    <w:p>
      <w:pPr>
        <w:numPr>
          <w:ilvl w:val="0"/>
          <w:numId w:val="1019"/>
        </w:numPr>
      </w:pPr>
      <w:r>
        <w:t xml:space="preserve">Чтобы прибавить единицу (сделать инкремент) к остатку от деления на 20.</w:t>
      </w:r>
    </w:p>
    <w:p>
      <w:pPr>
        <w:numPr>
          <w:ilvl w:val="0"/>
          <w:numId w:val="1019"/>
        </w:numPr>
      </w:pPr>
      <w:r>
        <w:t xml:space="preserve">Строки</w:t>
      </w:r>
    </w:p>
    <w:p>
      <w:pPr>
        <w:pStyle w:val="SourceCode"/>
      </w:pPr>
      <w:r>
        <w:rPr>
          <w:rStyle w:val="VerbatimChar"/>
        </w:rPr>
        <w:t xml:space="preserve">mov eax,edx</w:t>
      </w:r>
      <w:r>
        <w:br/>
      </w:r>
      <w:r>
        <w:rPr>
          <w:rStyle w:val="VerbatimChar"/>
        </w:rPr>
        <w:t xml:space="preserve">call iprintLF</w:t>
      </w:r>
    </w:p>
    <w:bookmarkEnd w:id="72"/>
    <w:bookmarkStart w:id="79" w:name="Xfe5de2f3ed88cd11f441877444b34370dfb921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Результаты выполнения заданий для самостоятельной работы</w:t>
      </w:r>
    </w:p>
    <w:p>
      <w:pPr>
        <w:numPr>
          <w:ilvl w:val="0"/>
          <w:numId w:val="1020"/>
        </w:numPr>
        <w:pStyle w:val="Compact"/>
      </w:pPr>
      <w:r>
        <w:t xml:space="preserve">Вариант 3. Программа для вычисления (2 + х)^2 в файле samrab.asm (рис. 18).</w:t>
      </w:r>
    </w:p>
    <w:p>
      <w:pPr>
        <w:pStyle w:val="CaptionedFigure"/>
      </w:pPr>
      <w:r>
        <w:drawing>
          <wp:inline>
            <wp:extent cx="2476500" cy="3816350"/>
            <wp:effectExtent b="0" l="0" r="0" t="0"/>
            <wp:docPr descr="Рис. 18: Программа для вычисления (2 + х)^2" title="" id="74" name="Picture"/>
            <a:graphic>
              <a:graphicData uri="http://schemas.openxmlformats.org/drawingml/2006/picture">
                <pic:pic>
                  <pic:nvPicPr>
                    <pic:cNvPr descr="image/im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Программа для вычисления (2 + х)^2</w:t>
      </w:r>
    </w:p>
    <w:p>
      <w:pPr>
        <w:numPr>
          <w:ilvl w:val="0"/>
          <w:numId w:val="1021"/>
        </w:numPr>
        <w:pStyle w:val="Compact"/>
      </w:pPr>
      <w:r>
        <w:t xml:space="preserve">Создаем исполняемый файл и проверяем его работу (рис. 19).</w:t>
      </w:r>
    </w:p>
    <w:p>
      <w:pPr>
        <w:pStyle w:val="CaptionedFigure"/>
      </w:pPr>
      <w:r>
        <w:drawing>
          <wp:inline>
            <wp:extent cx="3733800" cy="1146957"/>
            <wp:effectExtent b="0" l="0" r="0" t="0"/>
            <wp:docPr descr="Рис. 19: Проверка работы при х1 = 2 и х2 = 8" title="" id="77" name="Picture"/>
            <a:graphic>
              <a:graphicData uri="http://schemas.openxmlformats.org/drawingml/2006/picture">
                <pic:pic>
                  <pic:nvPicPr>
                    <pic:cNvPr descr="image/im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6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работы при х1 = 2 и х2 = 8</w:t>
      </w:r>
    </w:p>
    <w:bookmarkEnd w:id="79"/>
    <w:bookmarkStart w:id="8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освоены арифметические инструкции языка ассемблера NASM.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Полякова Юлия Александровна</dc:creator>
  <dc:language>ru-RU</dc:language>
  <cp:keywords/>
  <dcterms:created xsi:type="dcterms:W3CDTF">2024-11-16T20:24:13Z</dcterms:created>
  <dcterms:modified xsi:type="dcterms:W3CDTF">2024-11-16T20:24:13Z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