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Scena pokazuje animowaną ławicę ryb oraz model rekina, którym można sterować.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Ławica liczy sto pięćdziesiąt ryb. Zarówno rekin jak i ryby są oteksturowane teksturą szaro-białych rybich łusek. Jedna z ryb jest kilkukrotnie większa od pozostałych, jest ona oteksturowana teksturą powierzchni Ziemi. 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Stworzyliśmy niezależną funkcję drawObjectTexture2 będącą rozszerzeniem funkcji drawObjectTexture. Funkcja przyjmuje jako argumenty model obiektu, macierz obiektu, teksturę oraz macierz transformacji. Modele ryb znajdują się w losowych pozycjach, różnych przy każdym uruchomieniu programu. Do wyznaczania losowych pozycji i ruchu ryb, utworzyliśmy tablicę, która w ciele funkcji main jest wypełniana pseudolosowymi liczbami z przedziału [-8.5;8.5]. Aby je uzyskać wykorzystaliśmy funkcję rand() z biblioteki standardowej C++ i statyczne rzutowanie typów. Każda z ryb jest niezależnie od pozostałych przesunięta w fazie. Tworzymy macierz rotation2, która umożliwia obrót ryby z niezależnym przesunięciem w fazie. Każda z ryb jest również niezależnie, pseudolosowo oddalona od początku układu współrzędnych. Do funkcji drawObjectTexture2 przesyłamy macierz transformacji, która jest złożeniem macierzy translacji i macierzy rotacji.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Zwiększyliśmy prędkość poruszania się rekina z 0.1f do 0.3f oraz dodaliśmy możliwość obrotu modelu rekina wokół dodatkowej osi. Obrót ten jest uzyskiwany poprzez użycie klawiszy r i f. Rekin ma możliwość poruszania się w trzech wymiarach. Oddaliliśmy kamerę od modelu rekina, tak żeby cały znajdował się w polu widzenia kamery. 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Scena jest równomiernie oświetlona światłem padającym z góry. 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Zmodyfikowaliśmy współrzędne tekstury w fragment shaderze mnożąc je przez skalar, aby dopasować rozmiar tekstury do modeli i uzyskać optymalne pokrycie modelu teksturą. 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Modele zostały pobrane ze strony https://</w:t>
      </w:r>
      <w:r w:rsidDel="00000000" w:rsidR="00000000" w:rsidRPr="00000000">
        <w:rPr>
          <w:rtl w:val="0"/>
        </w:rPr>
        <w:t xml:space="preserve">www.turbosquid.com.</w:t>
      </w:r>
      <w:r w:rsidDel="00000000" w:rsidR="00000000" w:rsidRPr="00000000">
        <w:rPr>
          <w:rtl w:val="0"/>
        </w:rPr>
        <w:t xml:space="preserve"> 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