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D54B9" w14:textId="3B8A0C9E" w:rsidR="00103C65" w:rsidRDefault="00103C65" w:rsidP="008C30B0">
      <w:pPr>
        <w:pStyle w:val="Authorname"/>
        <w:rPr>
          <w:vertAlign w:val="superscript"/>
        </w:rPr>
      </w:pPr>
      <w:r w:rsidRPr="00CE3DD0">
        <w:t>M. Cyrus Maher</w:t>
      </w:r>
      <w:r>
        <w:rPr>
          <w:vertAlign w:val="superscript"/>
        </w:rPr>
        <w:t>1</w:t>
      </w:r>
      <w:r w:rsidR="00B0776E">
        <w:rPr>
          <w:vertAlign w:val="superscript"/>
        </w:rPr>
        <w:t>*</w:t>
      </w:r>
      <w:r>
        <w:t xml:space="preserve">, </w:t>
      </w:r>
      <w:r w:rsidRPr="00CE3DD0">
        <w:t>Ryan D. Hernandez</w:t>
      </w:r>
      <w:r w:rsidRPr="00CE3DD0">
        <w:rPr>
          <w:vertAlign w:val="superscript"/>
        </w:rPr>
        <w:t>2</w:t>
      </w:r>
      <w:r>
        <w:rPr>
          <w:vertAlign w:val="superscript"/>
        </w:rPr>
        <w:t>,3,4</w:t>
      </w:r>
    </w:p>
    <w:p w14:paraId="77A80BBB" w14:textId="77777777" w:rsidR="00103C65" w:rsidRDefault="00103C65" w:rsidP="008C30B0">
      <w:pPr>
        <w:pStyle w:val="Authorname"/>
      </w:pPr>
    </w:p>
    <w:p w14:paraId="04D6EC90" w14:textId="77777777" w:rsidR="00103C65" w:rsidRDefault="00103C65" w:rsidP="008C30B0">
      <w:pPr>
        <w:pStyle w:val="Affilation"/>
      </w:pPr>
      <w:r>
        <w:rPr>
          <w:vertAlign w:val="superscript"/>
        </w:rPr>
        <w:t>1</w:t>
      </w:r>
      <w:r w:rsidRPr="00AA717E">
        <w:t xml:space="preserve">Department of Epidemiology and Biostatistics, University of California, San Francisco, 185 Berry Street, Lobby 5, Suite 5700 San Francisco, CA 94107 </w:t>
      </w:r>
    </w:p>
    <w:p w14:paraId="443E0BE1" w14:textId="77777777" w:rsidR="00103C65" w:rsidRDefault="00103C65" w:rsidP="008C30B0">
      <w:pPr>
        <w:pStyle w:val="Affilation"/>
      </w:pPr>
      <w:r>
        <w:rPr>
          <w:vertAlign w:val="superscript"/>
        </w:rPr>
        <w:t>2</w:t>
      </w:r>
      <w:r w:rsidRPr="00CE3DD0">
        <w:t xml:space="preserve">Department of Bioengineering and Therapeutic Sciences, </w:t>
      </w:r>
    </w:p>
    <w:p w14:paraId="1B5AA017" w14:textId="77777777" w:rsidR="00103C65" w:rsidRDefault="00103C65" w:rsidP="008C30B0">
      <w:pPr>
        <w:pStyle w:val="Affilation"/>
      </w:pPr>
      <w:r>
        <w:rPr>
          <w:vertAlign w:val="superscript"/>
        </w:rPr>
        <w:t>3</w:t>
      </w:r>
      <w:r w:rsidRPr="00CE3DD0">
        <w:t xml:space="preserve">Institute for Human Genetics, </w:t>
      </w:r>
    </w:p>
    <w:p w14:paraId="7EBC54AA" w14:textId="77777777" w:rsidR="00103C65" w:rsidRDefault="00103C65" w:rsidP="008C30B0">
      <w:pPr>
        <w:pStyle w:val="Affilation"/>
      </w:pPr>
      <w:r>
        <w:rPr>
          <w:vertAlign w:val="superscript"/>
        </w:rPr>
        <w:t>4</w:t>
      </w:r>
      <w:r w:rsidRPr="00CE3DD0">
        <w:t xml:space="preserve">Institute for Quantitative Biosciences (QB3), </w:t>
      </w:r>
    </w:p>
    <w:p w14:paraId="1A08F472" w14:textId="77777777" w:rsidR="00103C65" w:rsidRDefault="00103C65" w:rsidP="008C30B0">
      <w:pPr>
        <w:pStyle w:val="Affilation"/>
      </w:pPr>
      <w:r>
        <w:t xml:space="preserve"> </w:t>
      </w:r>
      <w:r w:rsidRPr="00CE3DD0">
        <w:t>Universit</w:t>
      </w:r>
      <w:r>
        <w:t>y of California, San Francisco</w:t>
      </w:r>
    </w:p>
    <w:p w14:paraId="64968876" w14:textId="77777777" w:rsidR="00103C65" w:rsidRDefault="00103C65" w:rsidP="008C30B0">
      <w:pPr>
        <w:pStyle w:val="Affilation"/>
      </w:pPr>
      <w:r>
        <w:t xml:space="preserve"> </w:t>
      </w:r>
      <w:r w:rsidRPr="00CE3DD0">
        <w:t>San Francisco, California</w:t>
      </w:r>
      <w:r>
        <w:t>, USA</w:t>
      </w:r>
    </w:p>
    <w:p w14:paraId="5B631A16" w14:textId="77777777" w:rsidR="00B0776E" w:rsidRDefault="00B0776E" w:rsidP="008C30B0">
      <w:pPr>
        <w:pStyle w:val="Affilation"/>
      </w:pPr>
    </w:p>
    <w:p w14:paraId="6DE4A157" w14:textId="77777777" w:rsidR="00B0776E" w:rsidRPr="00B0776E" w:rsidRDefault="00B0776E" w:rsidP="008C30B0">
      <w:pPr>
        <w:pStyle w:val="Affilation"/>
        <w:rPr>
          <w:rFonts w:ascii="Helvetica Light" w:hAnsi="Helvetica Light"/>
          <w:sz w:val="18"/>
          <w:szCs w:val="18"/>
        </w:rPr>
      </w:pPr>
    </w:p>
    <w:p w14:paraId="2DBD5B37" w14:textId="77777777" w:rsidR="00B0776E" w:rsidRPr="00B0776E" w:rsidRDefault="00B0776E" w:rsidP="008C30B0">
      <w:pPr>
        <w:pStyle w:val="FootnoteText"/>
        <w:spacing w:line="240" w:lineRule="auto"/>
        <w:rPr>
          <w:rFonts w:ascii="Helvetica Light" w:hAnsi="Helvetica Light"/>
          <w:szCs w:val="16"/>
        </w:rPr>
      </w:pPr>
      <w:r w:rsidRPr="00B0776E">
        <w:rPr>
          <w:rStyle w:val="FootnoteReference"/>
          <w:rFonts w:ascii="Helvetica Light" w:hAnsi="Helvetica Light"/>
          <w:szCs w:val="16"/>
        </w:rPr>
        <w:footnoteRef/>
      </w:r>
      <w:r w:rsidRPr="00B0776E">
        <w:rPr>
          <w:rFonts w:ascii="Helvetica Light" w:hAnsi="Helvetica Light"/>
          <w:szCs w:val="16"/>
        </w:rPr>
        <w:t xml:space="preserve"> To whom correspondence should be addressed. </w:t>
      </w:r>
    </w:p>
    <w:p w14:paraId="14E04638" w14:textId="546122EC" w:rsidR="00B0776E" w:rsidRPr="00B0776E" w:rsidRDefault="00B0776E" w:rsidP="008C30B0">
      <w:pPr>
        <w:pStyle w:val="FootnoteText"/>
        <w:spacing w:line="240" w:lineRule="auto"/>
        <w:rPr>
          <w:rFonts w:ascii="Helvetica Light" w:hAnsi="Helvetica Light"/>
          <w:szCs w:val="16"/>
        </w:rPr>
      </w:pPr>
      <w:r w:rsidRPr="00B0776E">
        <w:rPr>
          <w:rFonts w:ascii="Helvetica Light" w:hAnsi="Helvetica Light"/>
          <w:szCs w:val="16"/>
        </w:rPr>
        <w:t xml:space="preserve">E-mail: </w:t>
      </w:r>
      <w:hyperlink r:id="rId7" w:history="1">
        <w:r w:rsidRPr="00B0776E">
          <w:rPr>
            <w:rStyle w:val="Hyperlink"/>
            <w:rFonts w:ascii="Helvetica Light" w:hAnsi="Helvetica Light"/>
            <w:szCs w:val="16"/>
          </w:rPr>
          <w:t>cyrusmaher@gmail.com</w:t>
        </w:r>
      </w:hyperlink>
    </w:p>
    <w:p w14:paraId="7AF2819F" w14:textId="77777777" w:rsidR="00B0776E" w:rsidRPr="00B0776E" w:rsidRDefault="00B0776E" w:rsidP="008C30B0">
      <w:pPr>
        <w:pStyle w:val="FootnoteText"/>
        <w:spacing w:line="240" w:lineRule="auto"/>
        <w:rPr>
          <w:rFonts w:ascii="Helvetica Light" w:hAnsi="Helvetica Light"/>
          <w:szCs w:val="16"/>
        </w:rPr>
      </w:pPr>
      <w:r w:rsidRPr="00B0776E">
        <w:rPr>
          <w:rFonts w:ascii="Helvetica Light" w:hAnsi="Helvetica Light"/>
          <w:szCs w:val="16"/>
        </w:rPr>
        <w:t>Address: 191 Castro St. Mountain View, CA 94041</w:t>
      </w:r>
    </w:p>
    <w:p w14:paraId="25AE9ECB" w14:textId="4463A234" w:rsidR="00B0776E" w:rsidRPr="00B0776E" w:rsidRDefault="00B0776E" w:rsidP="008C30B0">
      <w:pPr>
        <w:pStyle w:val="Affilation"/>
        <w:spacing w:line="240" w:lineRule="auto"/>
        <w:rPr>
          <w:rFonts w:ascii="Helvetica Light" w:hAnsi="Helvetica Light"/>
          <w:sz w:val="16"/>
          <w:szCs w:val="16"/>
        </w:rPr>
      </w:pPr>
      <w:r w:rsidRPr="00B0776E">
        <w:rPr>
          <w:rFonts w:ascii="Helvetica Light" w:hAnsi="Helvetica Light"/>
          <w:sz w:val="16"/>
          <w:szCs w:val="16"/>
        </w:rPr>
        <w:t>Phone: (858) 249-7500</w:t>
      </w:r>
    </w:p>
    <w:p w14:paraId="7FCEC6BE" w14:textId="74F34D81" w:rsidR="00103C65" w:rsidRPr="00B0776E" w:rsidRDefault="00103C65" w:rsidP="008C30B0">
      <w:pPr>
        <w:rPr>
          <w:rFonts w:ascii="Helvetica Light" w:hAnsi="Helvetica Light"/>
          <w:iCs/>
          <w:sz w:val="16"/>
          <w:szCs w:val="16"/>
        </w:rPr>
      </w:pPr>
      <w:r w:rsidRPr="00B0776E">
        <w:rPr>
          <w:rFonts w:ascii="Helvetica Light" w:hAnsi="Helvetica Light"/>
          <w:sz w:val="16"/>
          <w:szCs w:val="16"/>
        </w:rPr>
        <w:br w:type="page"/>
      </w:r>
    </w:p>
    <w:p w14:paraId="3AAB6880" w14:textId="77777777" w:rsidR="00103C65" w:rsidRPr="00386113" w:rsidRDefault="00103C65" w:rsidP="008C30B0">
      <w:pPr>
        <w:pStyle w:val="Heading1"/>
        <w:spacing w:line="480" w:lineRule="auto"/>
      </w:pPr>
      <w:r>
        <w:lastRenderedPageBreak/>
        <w:t>Introduction</w:t>
      </w:r>
    </w:p>
    <w:p w14:paraId="5CD4CB8B" w14:textId="021B2508" w:rsidR="00103C65" w:rsidRDefault="00103C65" w:rsidP="008C30B0">
      <w:pPr>
        <w:pStyle w:val="ParaNoInd"/>
        <w:spacing w:line="480" w:lineRule="auto"/>
        <w:rPr>
          <w:sz w:val="24"/>
          <w:szCs w:val="24"/>
        </w:rPr>
      </w:pPr>
      <w:r>
        <w:rPr>
          <w:sz w:val="24"/>
          <w:szCs w:val="24"/>
        </w:rPr>
        <w:t>E</w:t>
      </w:r>
      <w:r w:rsidRPr="00B0248C">
        <w:rPr>
          <w:sz w:val="24"/>
          <w:szCs w:val="24"/>
        </w:rPr>
        <w:t>stablishing</w:t>
      </w:r>
      <w:r w:rsidRPr="00086D6D">
        <w:rPr>
          <w:sz w:val="24"/>
          <w:szCs w:val="24"/>
        </w:rPr>
        <w:t xml:space="preserve"> </w:t>
      </w:r>
      <w:r>
        <w:rPr>
          <w:sz w:val="24"/>
          <w:szCs w:val="24"/>
        </w:rPr>
        <w:t>health-related</w:t>
      </w:r>
      <w:r w:rsidRPr="00B0248C">
        <w:rPr>
          <w:sz w:val="24"/>
          <w:szCs w:val="24"/>
        </w:rPr>
        <w:t xml:space="preserve"> causal relationships </w:t>
      </w:r>
      <w:r>
        <w:rPr>
          <w:sz w:val="24"/>
          <w:szCs w:val="24"/>
        </w:rPr>
        <w:t>is a pivotal objective</w:t>
      </w:r>
      <w:r w:rsidRPr="00B0248C">
        <w:rPr>
          <w:sz w:val="24"/>
          <w:szCs w:val="24"/>
        </w:rPr>
        <w:t xml:space="preserve"> in </w:t>
      </w:r>
      <w:r>
        <w:rPr>
          <w:sz w:val="24"/>
          <w:szCs w:val="24"/>
        </w:rPr>
        <w:t>biomedical research</w:t>
      </w:r>
      <w:r w:rsidRPr="00B0248C">
        <w:rPr>
          <w:sz w:val="24"/>
          <w:szCs w:val="24"/>
        </w:rPr>
        <w:t xml:space="preserve">. Yet, the </w:t>
      </w:r>
      <w:r>
        <w:rPr>
          <w:sz w:val="24"/>
          <w:szCs w:val="24"/>
        </w:rPr>
        <w:t>interdependent</w:t>
      </w:r>
      <w:r w:rsidRPr="00B0248C">
        <w:rPr>
          <w:sz w:val="24"/>
          <w:szCs w:val="24"/>
        </w:rPr>
        <w:t xml:space="preserve"> non-linear</w:t>
      </w:r>
      <w:r>
        <w:rPr>
          <w:sz w:val="24"/>
          <w:szCs w:val="24"/>
        </w:rPr>
        <w:t>ity of</w:t>
      </w:r>
      <w:r w:rsidRPr="00B0248C">
        <w:rPr>
          <w:sz w:val="24"/>
          <w:szCs w:val="24"/>
        </w:rPr>
        <w:t xml:space="preserve"> biological systems</w:t>
      </w:r>
      <w:r>
        <w:rPr>
          <w:sz w:val="24"/>
          <w:szCs w:val="24"/>
        </w:rPr>
        <w:t xml:space="preserve"> often impedes a thorough understanding of causal dynamics. Existing and forthcoming</w:t>
      </w:r>
      <w:r w:rsidRPr="00B0248C">
        <w:rPr>
          <w:sz w:val="24"/>
          <w:szCs w:val="24"/>
        </w:rPr>
        <w:t xml:space="preserve"> </w:t>
      </w:r>
      <w:r>
        <w:rPr>
          <w:sz w:val="24"/>
          <w:szCs w:val="24"/>
        </w:rPr>
        <w:t>time</w:t>
      </w:r>
      <w:r w:rsidRPr="00B0248C">
        <w:rPr>
          <w:sz w:val="24"/>
          <w:szCs w:val="24"/>
        </w:rPr>
        <w:t xml:space="preserve"> </w:t>
      </w:r>
      <w:r>
        <w:rPr>
          <w:sz w:val="24"/>
          <w:szCs w:val="24"/>
        </w:rPr>
        <w:t>series data</w:t>
      </w:r>
      <w:r w:rsidRPr="00B0248C">
        <w:rPr>
          <w:sz w:val="24"/>
          <w:szCs w:val="24"/>
        </w:rPr>
        <w:t xml:space="preserve"> </w:t>
      </w:r>
      <w:r>
        <w:rPr>
          <w:sz w:val="24"/>
          <w:szCs w:val="24"/>
        </w:rPr>
        <w:t xml:space="preserve">will likely play an important role in taming this complexity. </w:t>
      </w:r>
      <w:r w:rsidR="00C95FAD">
        <w:rPr>
          <w:sz w:val="24"/>
          <w:szCs w:val="24"/>
        </w:rPr>
        <w:t>Traditional</w:t>
      </w:r>
      <w:r>
        <w:rPr>
          <w:sz w:val="24"/>
          <w:szCs w:val="24"/>
        </w:rPr>
        <w:t xml:space="preserve"> cross-sectional sampling</w:t>
      </w:r>
      <w:r w:rsidR="007D7229">
        <w:rPr>
          <w:sz w:val="24"/>
          <w:szCs w:val="24"/>
        </w:rPr>
        <w:t xml:space="preserve"> </w:t>
      </w:r>
      <w:r w:rsidR="00C95FAD">
        <w:rPr>
          <w:sz w:val="24"/>
          <w:szCs w:val="24"/>
        </w:rPr>
        <w:t>have the limitation that they may average out</w:t>
      </w:r>
      <w:r>
        <w:rPr>
          <w:sz w:val="24"/>
          <w:szCs w:val="24"/>
        </w:rPr>
        <w:t xml:space="preserve"> non-linear patterns by pooling </w:t>
      </w:r>
      <w:r w:rsidR="007D7229">
        <w:rPr>
          <w:sz w:val="24"/>
          <w:szCs w:val="24"/>
        </w:rPr>
        <w:t>heterogeneous signals</w:t>
      </w:r>
      <w:r w:rsidR="00C95FAD">
        <w:rPr>
          <w:sz w:val="24"/>
          <w:szCs w:val="24"/>
        </w:rPr>
        <w:t xml:space="preserve"> across subjects. L</w:t>
      </w:r>
      <w:r>
        <w:rPr>
          <w:sz w:val="24"/>
          <w:szCs w:val="24"/>
        </w:rPr>
        <w:t>ong time series from a single source</w:t>
      </w:r>
      <w:r w:rsidR="00C95FAD">
        <w:rPr>
          <w:sz w:val="24"/>
          <w:szCs w:val="24"/>
        </w:rPr>
        <w:t>, on the other hand,</w:t>
      </w:r>
      <w:r>
        <w:rPr>
          <w:sz w:val="24"/>
          <w:szCs w:val="24"/>
        </w:rPr>
        <w:t xml:space="preserve"> </w:t>
      </w:r>
      <w:r w:rsidR="00C95FAD">
        <w:rPr>
          <w:sz w:val="24"/>
          <w:szCs w:val="24"/>
        </w:rPr>
        <w:t xml:space="preserve">can </w:t>
      </w:r>
      <w:r>
        <w:rPr>
          <w:sz w:val="24"/>
          <w:szCs w:val="24"/>
        </w:rPr>
        <w:t xml:space="preserve">allow us to </w:t>
      </w:r>
      <w:r w:rsidR="00C95FAD">
        <w:rPr>
          <w:sz w:val="24"/>
          <w:szCs w:val="24"/>
        </w:rPr>
        <w:t>understand</w:t>
      </w:r>
      <w:r>
        <w:rPr>
          <w:sz w:val="24"/>
          <w:szCs w:val="24"/>
        </w:rPr>
        <w:t xml:space="preserve"> dynamic and context-specific patterns of change. </w:t>
      </w:r>
    </w:p>
    <w:p w14:paraId="6A91738D" w14:textId="6E81D7FB" w:rsidR="00103C65" w:rsidRDefault="00103C65" w:rsidP="008C30B0">
      <w:pPr>
        <w:pStyle w:val="ParaNoInd"/>
        <w:spacing w:line="480" w:lineRule="auto"/>
        <w:ind w:firstLine="720"/>
        <w:rPr>
          <w:sz w:val="24"/>
          <w:szCs w:val="24"/>
        </w:rPr>
      </w:pPr>
      <w:r>
        <w:rPr>
          <w:sz w:val="24"/>
          <w:szCs w:val="24"/>
        </w:rPr>
        <w:t xml:space="preserve">We are just beginning to </w:t>
      </w:r>
      <w:r w:rsidR="00C95FAD">
        <w:rPr>
          <w:sz w:val="24"/>
          <w:szCs w:val="24"/>
        </w:rPr>
        <w:t>grasp</w:t>
      </w:r>
      <w:r>
        <w:rPr>
          <w:sz w:val="24"/>
          <w:szCs w:val="24"/>
        </w:rPr>
        <w:t xml:space="preserve"> the biomedical relevance of such a dynamical systems perspective. Consider for example the human microbiome. Dysbiosis in the gut has been implicated in, e.g. irritable bowel disease (IBD), obesity, diabetes, asthma, anxiety, and depression </w:t>
      </w:r>
      <w:r>
        <w:rPr>
          <w:sz w:val="24"/>
          <w:szCs w:val="24"/>
        </w:rPr>
        <w:fldChar w:fldCharType="begin" w:fldLock="1"/>
      </w:r>
      <w:r>
        <w:rPr>
          <w:sz w:val="24"/>
          <w:szCs w:val="24"/>
        </w:rPr>
        <w:instrText>ADDIN CSL_CITATION { "citationItems" : [ { "id" : "ITEM-1", "itemData" : { "DOI" : "10.3389/fimmu.2014.00427", "ISSN" : "1664-3224", "PMID" : "25250028", "abstract" : "Human microbial colonization begins at birth and continues to develop and modulate in species abundance for about 3\u2009years, until the microbiota becomes adult-like. During the same time period, children experience significant developmental changes that influence their health status as well as their immune system. An ever-expanding number of articles associate several diseases with early-life imbalances of the gut microbiota, also referred to as gut microbial dysbiosis. Whether early-life dysbiosis precedes and plays a role in disease pathogenesis, or simply originates from the disease process itself is a question that is beginning to be answered in a few diseases, including IBD, obesity, and asthma. This review describes the gut microbiome structure and function during the formative first years of life, as well as the environmental factors that determine its composition. It also aims to discuss the recent advances in understanding the role of the early-life gut microbiota in the development of immune-mediated, metabolic, and neurological diseases. A greater understanding of how the early-life gut microbiota impacts our immune development could potentially lead to novel microbial-derived therapies that target disease prevention at an early age.", "author" : [ { "dropping-particle" : "", "family" : "Arrieta", "given" : "Marie-Claire", "non-dropping-particle" : "", "parse-names" : false, "suffix" : "" }, { "dropping-particle" : "", "family" : "Stiemsma", "given" : "Leah T.", "non-dropping-particle" : "", "parse-names" : false, "suffix" : "" }, { "dropping-particle" : "", "family" : "Amenyogbe", "given" : "Nelly", "non-dropping-particle" : "", "parse-names" : false, "suffix" : "" }, { "dropping-particle" : "", "family" : "Brown", "given" : "Eric M.", "non-dropping-particle" : "", "parse-names" : false, "suffix" : "" }, { "dropping-particle" : "", "family" : "Finlay", "given" : "Brett", "non-dropping-particle" : "", "parse-names" : false, "suffix" : "" } ], "container-title" : "Frontiers in Immunology", "id" : "ITEM-1", "issued" : { "date-parts" : [ [ "2014", "9", "5" ] ] }, "page" : "427", "title" : "The Intestinal Microbiome in Early Life: Health and Disease", "type" : "article-journal", "volume" : "5" }, "uris" : [ "http://www.mendeley.com/documents/?uuid=cdcc7968-27ca-43ea-b9ea-84a19991bcb7" ] }, { "id" : "ITEM-2", "itemData" : { "DOI" : "10.1016/j.tins.2013.01.005", "ISSN" : "1878-108X", "PMID" : "23384445", "abstract" : "Within the first few days of life, humans are colonized by commensal intestinal microbiota. Here, we review recent findings showing that microbiota are important in normal healthy brain function. We also discuss the relation between stress and microbiota, and how alterations in microbiota influence stress-related behaviors. New studies show that bacteria, including commensal, probiotic, and pathogenic bacteria, in the gastrointestinal (GI) tract can activate neural pathways and central nervous system (CNS) signaling systems. Ongoing and future animal and clinical studies aimed at understanding the microbiota-gut-brain axis may provide novel approaches for prevention and treatment of mental illness, including anxiety and depression.", "author" : [ { "dropping-particle" : "", "family" : "Foster", "given" : "Jane A", "non-dropping-particle" : "", "parse-names" : false, "suffix" : "" }, { "dropping-particle" : "", "family" : "McVey Neufeld", "given" : "Karen-Anne", "non-dropping-particle" : "", "parse-names" : false, "suffix" : "" } ], "container-title" : "Trends in neurosciences", "id" : "ITEM-2", "issue" : "5", "issued" : { "date-parts" : [ [ "2013", "5" ] ] }, "page" : "305-12", "title" : "Gut-brain axis: how the microbiome influences anxiety and depression.", "type" : "article-journal", "volume" : "36" }, "uris" : [ "http://www.mendeley.com/documents/?uuid=787d9c75-2994-4154-b078-183a243382da" ] } ], "mendeley" : { "previouslyFormattedCitation" : "(Foster &amp; McVey Neufeld, 2013; Arrieta et al., 2014)" }, "properties" : { "noteIndex" : 0 }, "schema" : "https://github.com/citation-style-language/schema/raw/master/csl-citation.json" }</w:instrText>
      </w:r>
      <w:r>
        <w:rPr>
          <w:sz w:val="24"/>
          <w:szCs w:val="24"/>
        </w:rPr>
        <w:fldChar w:fldCharType="separate"/>
      </w:r>
      <w:r w:rsidRPr="00386113">
        <w:rPr>
          <w:noProof/>
          <w:sz w:val="24"/>
          <w:szCs w:val="24"/>
        </w:rPr>
        <w:t>(Foster &amp; McVey Neufeld, 2013; Arrieta et al., 2014)</w:t>
      </w:r>
      <w:r>
        <w:rPr>
          <w:sz w:val="24"/>
          <w:szCs w:val="24"/>
        </w:rPr>
        <w:fldChar w:fldCharType="end"/>
      </w:r>
      <w:r>
        <w:rPr>
          <w:sz w:val="24"/>
          <w:szCs w:val="24"/>
        </w:rPr>
        <w:t xml:space="preserve">.  Meanwhile, recent studies on microbiome dynamics have found that the ecological makeup of the human microbiome is dynamic and individual-specific </w:t>
      </w:r>
      <w:r>
        <w:rPr>
          <w:sz w:val="24"/>
          <w:szCs w:val="24"/>
        </w:rPr>
        <w:fldChar w:fldCharType="begin" w:fldLock="1"/>
      </w:r>
      <w:r>
        <w:rPr>
          <w:sz w:val="24"/>
          <w:szCs w:val="24"/>
        </w:rPr>
        <w:instrText>ADDIN CSL_CITATION { "citationItems" : [ { "id" : "ITEM-1", "itemData" : { "DOI" : "10.1126/scitranslmed.3003605", "ISSN" : "1946-6242", "PMID" : "22553250", "abstract" : "Elucidating the factors that impinge on the stability of bacterial communities in the vagina may help in predicting the risk of diseases that affect women's health. Here, we describe the temporal dynamics of the composition of vaginal bacterial communities in 32 reproductive-age women over a 16-week period. The analysis revealed the dynamics of five major classes of bacterial communities and showed that some communities change markedly over short time periods, whereas others are relatively stable. Modeling community stability using new quantitative measures indicates that deviation from stability correlates with time in the menstrual cycle, bacterial community composition, and sexual activity. The women studied are healthy; thus, it appears that neither variation in community composition per se nor higher levels of observed diversity (co-dominance) are necessarily indicative of dysbiosis.", "author" : [ { "dropping-particle" : "", "family" : "Gajer", "given" : "Pawel", "non-dropping-particle" : "", "parse-names" : false, "suffix" : "" }, { "dropping-particle" : "", "family" : "Brotman", "given" : "Rebecca M", "non-dropping-particle" : "", "parse-names" : false, "suffix" : "" }, { "dropping-particle" : "", "family" : "Bai", "given" : "Guoyun", "non-dropping-particle" : "", "parse-names" : false, "suffix" : "" }, { "dropping-particle" : "", "family" : "Sakamoto", "given" : "Joyce", "non-dropping-particle" : "", "parse-names" : false, "suffix" : "" }, { "dropping-particle" : "", "family" : "Sch\u00fctte", "given" : "Ursel M E", "non-dropping-particle" : "", "parse-names" : false, "suffix" : "" }, { "dropping-particle" : "", "family" : "Zhong", "given" : "Xue", "non-dropping-particle" : "", "parse-names" : false, "suffix" : "" }, { "dropping-particle" : "", "family" : "Koenig", "given" : "Sara S K", "non-dropping-particle" : "", "parse-names" : false, "suffix" : "" }, { "dropping-particle" : "", "family" : "Fu", "given" : "Li", "non-dropping-particle" : "", "parse-names" : false, "suffix" : "" }, { "dropping-particle" : "", "family" : "Ma", "given" : "Zhanshan Sam", "non-dropping-particle" : "", "parse-names" : false, "suffix" : "" }, { "dropping-particle" : "", "family" : "Zhou", "given" : "Xia", "non-dropping-particle" : "", "parse-names" : false, "suffix" : "" }, { "dropping-particle" : "", "family" : "Abdo", "given" : "Zaid", "non-dropping-particle" : "", "parse-names" : false, "suffix" : "" }, { "dropping-particle" : "", "family" : "Forney", "given" : "Larry J", "non-dropping-particle" : "", "parse-names" : false, "suffix" : "" }, { "dropping-particle" : "", "family" : "Ravel", "given" : "Jacques", "non-dropping-particle" : "", "parse-names" : false, "suffix" : "" } ], "container-title" : "Science translational medicine", "id" : "ITEM-1", "issue" : "132", "issued" : { "date-parts" : [ [ "2012", "5", "2" ] ] }, "page" : "132ra52", "title" : "Temporal dynamics of the human vaginal microbiota.", "type" : "article-journal", "volume" : "4" }, "uris" : [ "http://www.mendeley.com/documents/?uuid=dd1dc490-9ddc-4e22-badf-6863754c4094" ] }, { "id" : "ITEM-2", "itemData" : { "DOI" : "10.1186/gb-2011-12-5-r50", "ISSN" : "1465-6914", "PMID" : "21624126", "abstract" : "BACKGROUND: Understanding the normal temporal variation in the human microbiome is critical to developing treatments for putative microbiome-related afflictions such as obesity, Crohn\u2019s disease, inflammatory bowel disease and malnutrition. Sequencing and computational technologies, however, have been a limiting factor in performing dense time series analysis of the human microbiome. Here, we present the largest human microbiota time series analysis to date, covering two individuals at four body sites over 396 timepoints.\n\nRESULTS: We find that despite stable differences between body sites and individuals, there is pronounced variability in an individual\u2019s microbiota across months, weeks and even days. Additionally, only a small fraction of the total taxa found within a single body site appear to be present across all time points, suggesting that no core temporal microbiome exists at high abundance (although some microbes may be present but drop below the detection threshold). Many more taxa appear to be persistent but non-permanent community members.\n\nCONCLUSIONS: DNA sequencing and computational advances described here provide the ability to go beyond infrequent snapshots of our human-associated microbial ecology to high-resolution assessments of temporal variations over protracted periods, within and between body habitats and individuals. This capacity will allow us to define normal variation and pathologic states, and assess responses to therapeutic interventions.", "author" : [ { "dropping-particle" : "", "family" : "Caporaso", "given" : "J Gregory", "non-dropping-particle" : "", "parse-names" : false, "suffix" : "" }, { "dropping-particle" : "", "family" : "Lauber", "given" : "Christian L", "non-dropping-particle" : "", "parse-names" : false, "suffix" : "" }, { "dropping-particle" : "", "family" : "Costello", "given" : "Elizabeth K", "non-dropping-particle" : "", "parse-names" : false, "suffix" : "" }, { "dropping-particle" : "", "family" : "Berg-Lyons", "given" : "Donna", "non-dropping-particle" : "", "parse-names" : false, "suffix" : "" }, { "dropping-particle" : "", "family" : "Gonzalez", "given" : "Antonio", "non-dropping-particle" : "", "parse-names" : false, "suffix" : "" }, { "dropping-particle" : "", "family" : "Stombaugh", "given" : "Jesse", "non-dropping-particle" : "", "parse-names" : false, "suffix" : "" }, { "dropping-particle" : "", "family" : "Knights", "given" : "Dan", "non-dropping-particle" : "", "parse-names" : false, "suffix" : "" }, { "dropping-particle" : "", "family" : "Gajer", "given" : "Pawel", "non-dropping-particle" : "", "parse-names" : false, "suffix" : "" }, { "dropping-particle" : "", "family" : "Ravel", "given" : "Jacques", "non-dropping-particle" : "", "parse-names" : false, "suffix" : "" }, { "dropping-particle" : "", "family" : "Fierer", "given" : "Noah", "non-dropping-particle" : "", "parse-names" : false, "suffix" : "" }, { "dropping-particle" : "", "family" : "Gordon", "given" : "Jeffrey I", "non-dropping-particle" : "", "parse-names" : false, "suffix" : "" }, { "dropping-particle" : "", "family" : "Knight", "given" : "Rob", "non-dropping-particle" : "", "parse-names" : false, "suffix" : "" } ], "container-title" : "Genome biology", "id" : "ITEM-2", "issue" : "5", "issued" : { "date-parts" : [ [ "2011", "1" ] ] }, "page" : "R50", "title" : "Moving pictures of the human microbiome.", "type" : "article-journal", "volume" : "12" }, "uris" : [ "http://www.mendeley.com/documents/?uuid=753603e3-a1a9-4995-bb58-a0f185137c93" ] }, { "id" : "ITEM-3", "itemData" : { "author" : [ { "dropping-particle" : "", "family" : "Fisher", "given" : "Charles K.", "non-dropping-particle" : "", "parse-names" : false, "suffix" : "" }, { "dropping-particle" : "", "family" : "Mehta", "given" : "Pankaj", "non-dropping-particle" : "", "parse-names" : false, "suffix" : "" } ], "id" : "ITEM-3", "issued" : { "date-parts" : [ [ "2014", "2", "3" ] ] }, "title" : "Identifying Keystone Species in the Human Gut Microbiome from Metagenomic Timeseries using Sparse Linear Regression", "type" : "article-journal" }, "uris" : [ "http://www.mendeley.com/documents/?uuid=f68a34ef-1c19-4f4f-9a4e-274e8083c49f" ] } ], "mendeley" : { "previouslyFormattedCitation" : "(Caporaso et al., 2011; Gajer et al., 2012; Fisher &amp; Mehta, 2014)" }, "properties" : { "noteIndex" : 0 }, "schema" : "https://github.com/citation-style-language/schema/raw/master/csl-citation.json" }</w:instrText>
      </w:r>
      <w:r>
        <w:rPr>
          <w:sz w:val="24"/>
          <w:szCs w:val="24"/>
        </w:rPr>
        <w:fldChar w:fldCharType="separate"/>
      </w:r>
      <w:r w:rsidRPr="00386113">
        <w:rPr>
          <w:noProof/>
          <w:sz w:val="24"/>
          <w:szCs w:val="24"/>
        </w:rPr>
        <w:t>(Caporaso et al., 2011; Gajer et al., 2012; Fisher &amp; Mehta, 2014)</w:t>
      </w:r>
      <w:r>
        <w:rPr>
          <w:sz w:val="24"/>
          <w:szCs w:val="24"/>
        </w:rPr>
        <w:fldChar w:fldCharType="end"/>
      </w:r>
      <w:r>
        <w:rPr>
          <w:sz w:val="24"/>
          <w:szCs w:val="24"/>
        </w:rPr>
        <w:t xml:space="preserve">. These dynamics may also interact with pathogens in interesting and therapeutically important ways. For example, there is evidence that ecological time series dynamics within the body may play a role in the progression from HIV to AIDS </w:t>
      </w:r>
      <w:r>
        <w:rPr>
          <w:sz w:val="24"/>
          <w:szCs w:val="24"/>
        </w:rPr>
        <w:fldChar w:fldCharType="begin" w:fldLock="1"/>
      </w:r>
      <w:r>
        <w:rPr>
          <w:sz w:val="24"/>
          <w:szCs w:val="24"/>
        </w:rPr>
        <w:instrText>ADDIN CSL_CITATION { "citationItems" : [ { "id" : "ITEM-1", "itemData" : { "DOI" : "10.1126/scitranslmed.3006438", "ISSN" : "1946-6242", "PMID" : "23843452", "abstract" : "Progressive HIV infection is characterized by dysregulation of the intestinal immune barrier, translocation of immunostimulatory microbial products, and chronic systemic inflammation that is thought to drive progression of disease to AIDS. Elements of this pathologic process persist despite viral suppression during highly active antiretroviral therapy (HAART), and drivers of these phenomena remain poorly understood. Disrupted intestinal immunity can precipitate dysbiosis that induces chronic inflammation in the mucosa and periphery of mice. However, putative microbial drivers of HIV-associated immunopathology versus recovery have not been identified in humans. Using high-resolution bacterial community profiling, we identified a dysbiotic mucosal-adherent community enriched in Proteobacteria and depleted of Bacteroidia members that was associated with markers of mucosal immune disruption, T cell activation, and chronic inflammation in HIV-infected subjects. Furthermore, this dysbiosis was evident among HIV-infected subjects undergoing HAART, and the extent of dysbiosis correlated with activity of the kynurenine pathway of tryptophan catabolism and plasma concentrations of the inflammatory cytokine interleukin-6 (IL-6), two established markers of disease progression. Gut-resident bacteria with capacity to catabolize tryptophan through the kynurenine pathway were found to be enriched in HIV-infected subjects, strongly correlated with kynurenine levels in HIV-infected subjects, and capable of kynurenine production in vitro. These observations demonstrate a link between mucosal-adherent colonic bacteria and immunopathogenesis during progressive HIV infection that is apparent even in the setting of viral suppression during HAART. This link suggests that gut-resident microbial populations may influence intestinal homeostasis during HIV disease.", "author" : [ { "dropping-particle" : "", "family" : "Vujkovic-Cvijin", "given" : "Ivan", "non-dropping-particle" : "", "parse-names" : false, "suffix" : "" }, { "dropping-particle" : "", "family" : "Dunham", "given" : "Richard M", "non-dropping-particle" : "", "parse-names" : false, "suffix" : "" }, { "dropping-particle" : "", "family" : "Iwai", "given" : "Shoko", "non-dropping-particle" : "", "parse-names" : false, "suffix" : "" }, { "dropping-particle" : "", "family" : "Maher", "given" : "Michael C", "non-dropping-particle" : "", "parse-names" : false, "suffix" : "" }, { "dropping-particle" : "", "family" : "Albright", "given" : "Rebecca G", "non-dropping-particle" : "", "parse-names" : false, "suffix" : "" }, { "dropping-particle" : "", "family" : "Broadhurst", "given" : "Mara J", "non-dropping-particle" : "", "parse-names" : false, "suffix" : "" }, { "dropping-particle" : "", "family" : "Hernandez", "given" : "Ryan D", "non-dropping-particle" : "", "parse-names" : false, "suffix" : "" }, { "dropping-particle" : "", "family" : "Lederman", "given" : "Michael M", "non-dropping-particle" : "", "parse-names" : false, "suffix" : "" }, { "dropping-particle" : "", "family" : "Huang", "given" : "Yong", "non-dropping-particle" : "", "parse-names" : false, "suffix" : "" }, { "dropping-particle" : "", "family" : "Somsouk", "given" : "Ma", "non-dropping-particle" : "", "parse-names" : false, "suffix" : "" }, { "dropping-particle" : "", "family" : "Deeks", "given" : "Steven G", "non-dropping-particle" : "", "parse-names" : false, "suffix" : "" }, { "dropping-particle" : "", "family" : "Hunt", "given" : "Peter W", "non-dropping-particle" : "", "parse-names" : false, "suffix" : "" }, { "dropping-particle" : "V", "family" : "Lynch", "given" : "Susan", "non-dropping-particle" : "", "parse-names" : false, "suffix" : "" }, { "dropping-particle" : "", "family" : "McCune", "given" : "Joseph M", "non-dropping-particle" : "", "parse-names" : false, "suffix" : "" } ], "container-title" : "Science translational medicine", "id" : "ITEM-1", "issue" : "193", "issued" : { "date-parts" : [ [ "2013", "7", "10" ] ] }, "page" : "193ra91", "title" : "Dysbiosis of the gut microbiota is associated with HIV disease progression and tryptophan catabolism.", "type" : "article-journal", "volume" : "5" }, "uris" : [ "http://www.mendeley.com/documents/?uuid=8c98b6f0-1510-4b52-8ec3-e0c9f9a48222" ] } ], "mendeley" : { "previouslyFormattedCitation" : "(Vujkovic-Cvijin et al., 2013)" }, "properties" : { "noteIndex" : 0 }, "schema" : "https://github.com/citation-style-language/schema/raw/master/csl-citation.json" }</w:instrText>
      </w:r>
      <w:r>
        <w:rPr>
          <w:sz w:val="24"/>
          <w:szCs w:val="24"/>
        </w:rPr>
        <w:fldChar w:fldCharType="separate"/>
      </w:r>
      <w:r w:rsidRPr="00B23D1B">
        <w:rPr>
          <w:noProof/>
          <w:sz w:val="24"/>
          <w:szCs w:val="24"/>
        </w:rPr>
        <w:t xml:space="preserve">(Vujkovic-Cvijin </w:t>
      </w:r>
      <w:r w:rsidRPr="00B23D1B">
        <w:rPr>
          <w:i/>
          <w:noProof/>
          <w:sz w:val="24"/>
          <w:szCs w:val="24"/>
        </w:rPr>
        <w:t>et al.</w:t>
      </w:r>
      <w:r w:rsidRPr="00B23D1B">
        <w:rPr>
          <w:noProof/>
          <w:sz w:val="24"/>
          <w:szCs w:val="24"/>
        </w:rPr>
        <w:t>, 2013)</w:t>
      </w:r>
      <w:r>
        <w:rPr>
          <w:sz w:val="24"/>
          <w:szCs w:val="24"/>
        </w:rPr>
        <w:fldChar w:fldCharType="end"/>
      </w:r>
      <w:r>
        <w:rPr>
          <w:sz w:val="24"/>
          <w:szCs w:val="24"/>
        </w:rPr>
        <w:t xml:space="preserve">. </w:t>
      </w:r>
    </w:p>
    <w:p w14:paraId="690AE32E" w14:textId="77777777" w:rsidR="00103C65" w:rsidRPr="00B0248C" w:rsidRDefault="00103C65" w:rsidP="008C30B0">
      <w:pPr>
        <w:pStyle w:val="ParaNoInd"/>
        <w:spacing w:line="480" w:lineRule="auto"/>
        <w:ind w:firstLine="720"/>
        <w:rPr>
          <w:sz w:val="24"/>
          <w:szCs w:val="24"/>
        </w:rPr>
      </w:pPr>
      <w:r>
        <w:rPr>
          <w:sz w:val="24"/>
          <w:szCs w:val="24"/>
        </w:rPr>
        <w:t>Complex, dynamically evolving interdependent systems such as the microbiome pose a significant challenge to existing time series methods.</w:t>
      </w:r>
      <w:r w:rsidRPr="00B0248C">
        <w:rPr>
          <w:sz w:val="24"/>
          <w:szCs w:val="24"/>
        </w:rPr>
        <w:t xml:space="preserve"> Several metrics </w:t>
      </w:r>
      <w:r>
        <w:rPr>
          <w:sz w:val="24"/>
          <w:szCs w:val="24"/>
        </w:rPr>
        <w:t>exist for detecting</w:t>
      </w:r>
      <w:r w:rsidRPr="00B0248C">
        <w:rPr>
          <w:sz w:val="24"/>
          <w:szCs w:val="24"/>
        </w:rPr>
        <w:t xml:space="preserve"> </w:t>
      </w:r>
      <w:r>
        <w:rPr>
          <w:sz w:val="24"/>
          <w:szCs w:val="24"/>
        </w:rPr>
        <w:t xml:space="preserve">static </w:t>
      </w:r>
      <w:r w:rsidRPr="00B0248C">
        <w:rPr>
          <w:sz w:val="24"/>
          <w:szCs w:val="24"/>
        </w:rPr>
        <w:t>n</w:t>
      </w:r>
      <w:r>
        <w:rPr>
          <w:sz w:val="24"/>
          <w:szCs w:val="24"/>
        </w:rPr>
        <w:t>on-linear relationships. These include</w:t>
      </w:r>
      <w:r w:rsidRPr="00B0248C">
        <w:rPr>
          <w:sz w:val="24"/>
          <w:szCs w:val="24"/>
        </w:rPr>
        <w:t xml:space="preserve">: spearman correlation </w:t>
      </w:r>
      <w:r w:rsidRPr="00B0248C">
        <w:rPr>
          <w:sz w:val="24"/>
          <w:szCs w:val="24"/>
        </w:rPr>
        <w:fldChar w:fldCharType="begin" w:fldLock="1"/>
      </w:r>
      <w:r>
        <w:rPr>
          <w:sz w:val="24"/>
          <w:szCs w:val="24"/>
        </w:rPr>
        <w:instrText>ADDIN CSL_CITATION { "citationItems" : [ { "id" : "ITEM-1", "itemData" : { "author" : [ { "dropping-particle" : "", "family" : "Spearman", "given" : "Charles", "non-dropping-particle" : "", "parse-names" : false, "suffix" : "" } ], "container-title" : "American Journal of Psychology", "id" : "ITEM-1", "issued" : { "date-parts" : [ [ "1904" ] ] }, "page" : "72-101", "title" : "The proof and measurement of association between two things", "type" : "article-journal", "volume" : "15" }, "uris" : [ "http://www.mendeley.com/documents/?uuid=803389fb-0015-4c5b-a948-6e83a0ac0904" ] } ], "mendeley" : { "previouslyFormattedCitation" : "(Spearman, 1904)" }, "properties" : { "noteIndex" : 0 }, "schema" : "https://github.com/citation-style-language/schema/raw/master/csl-citation.json" }</w:instrText>
      </w:r>
      <w:r w:rsidRPr="00B0248C">
        <w:rPr>
          <w:sz w:val="24"/>
          <w:szCs w:val="24"/>
        </w:rPr>
        <w:fldChar w:fldCharType="separate"/>
      </w:r>
      <w:r w:rsidRPr="00B23D1B">
        <w:rPr>
          <w:noProof/>
          <w:sz w:val="24"/>
          <w:szCs w:val="24"/>
        </w:rPr>
        <w:t>(Spearman, 1904)</w:t>
      </w:r>
      <w:r w:rsidRPr="00B0248C">
        <w:rPr>
          <w:sz w:val="24"/>
          <w:szCs w:val="24"/>
        </w:rPr>
        <w:fldChar w:fldCharType="end"/>
      </w:r>
      <w:r w:rsidRPr="00B0248C">
        <w:rPr>
          <w:sz w:val="24"/>
          <w:szCs w:val="24"/>
        </w:rPr>
        <w:t xml:space="preserve">, distance correlation </w:t>
      </w:r>
      <w:r w:rsidRPr="00B0248C">
        <w:rPr>
          <w:sz w:val="24"/>
          <w:szCs w:val="24"/>
        </w:rPr>
        <w:fldChar w:fldCharType="begin" w:fldLock="1"/>
      </w:r>
      <w:r>
        <w:rPr>
          <w:sz w:val="24"/>
          <w:szCs w:val="24"/>
        </w:rPr>
        <w:instrText>ADDIN CSL_CITATION { "citationItems" : [ { "id" : "ITEM-1", "itemData" : { "author" : [ { "dropping-particle" : "", "family" : "Sz\u00e9kely", "given" : "G\u00e1bor J.", "non-dropping-particle" : "", "parse-names" : false, "suffix" : "" }, { "dropping-particle" : "", "family" : "Rizzo", "given" : "Maria L.", "non-dropping-particle" : "", "parse-names" : false, "suffix" : "" }, { "dropping-particle" : "", "family" : "Bakirov", "given" : "Nail K.", "non-dropping-particle" : "", "parse-names" : false, "suffix" : "" } ], "container-title" : "The Annals of Statistics", "id" : "ITEM-1", "issue" : "6", "issued" : { "date-parts" : [ [ "2007" ] ] }, "page" : "2769-2794", "title" : "Measuring and Testing Dependence by Correlation of Distances", "type" : "article-journal", "volume" : "35" }, "uris" : [ "http://www.mendeley.com/documents/?uuid=35f4b314-30cc-4b2a-b31c-0c24ad915b70" ] } ], "mendeley" : { "previouslyFormattedCitation" : "(Sz\u00e9kely, Rizzo &amp; Bakirov, 2007)" }, "properties" : { "noteIndex" : 0 }, "schema" : "https://github.com/citation-style-language/schema/raw/master/csl-citation.json" }</w:instrText>
      </w:r>
      <w:r w:rsidRPr="00B0248C">
        <w:rPr>
          <w:sz w:val="24"/>
          <w:szCs w:val="24"/>
        </w:rPr>
        <w:fldChar w:fldCharType="separate"/>
      </w:r>
      <w:r w:rsidRPr="00386113">
        <w:rPr>
          <w:noProof/>
          <w:sz w:val="24"/>
          <w:szCs w:val="24"/>
        </w:rPr>
        <w:t>(Székely, Rizzo &amp; Bakirov, 2007)</w:t>
      </w:r>
      <w:r w:rsidRPr="00B0248C">
        <w:rPr>
          <w:sz w:val="24"/>
          <w:szCs w:val="24"/>
        </w:rPr>
        <w:fldChar w:fldCharType="end"/>
      </w:r>
      <w:r w:rsidRPr="00B0248C">
        <w:rPr>
          <w:sz w:val="24"/>
          <w:szCs w:val="24"/>
        </w:rPr>
        <w:t xml:space="preserve">, and mutual information content </w:t>
      </w:r>
      <w:r w:rsidRPr="00B0248C">
        <w:rPr>
          <w:sz w:val="24"/>
          <w:szCs w:val="24"/>
        </w:rPr>
        <w:fldChar w:fldCharType="begin" w:fldLock="1"/>
      </w:r>
      <w:r>
        <w:rPr>
          <w:sz w:val="24"/>
          <w:szCs w:val="24"/>
        </w:rPr>
        <w:instrText>ADDIN CSL_CITATION { "citationItems" : [ { "id" : "ITEM-1", "itemData" : { "DOI" : "10.1126/science.1205438", "ISSN" : "1095-9203", "PMID" : "22174245", "abstract" : "Identifying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 "author" : [ { "dropping-particle" : "", "family" : "Reshef", "given" : "David N", "non-dropping-particle" : "", "parse-names" : false, "suffix" : "" }, { "dropping-particle" : "", "family" : "Reshef", "given" : "Yakir A", "non-dropping-particle" : "", "parse-names" : false, "suffix" : "" }, { "dropping-particle" : "", "family" : "Finucane", "given" : "Hilary K", "non-dropping-particle" : "", "parse-names" : false, "suffix" : "" }, { "dropping-particle" : "", "family" : "Grossman", "given" : "Sharon R", "non-dropping-particle" : "", "parse-names" : false, "suffix" : "" }, { "dropping-particle" : "", "family" : "McVean", "given" : "Gilean", "non-dropping-particle" : "", "parse-names" : false, "suffix" : "" }, { "dropping-particle" : "", "family" : "Turnbaugh", "given" : "Peter J", "non-dropping-particle" : "", "parse-names" : false, "suffix" : "" }, { "dropping-particle" : "", "family" : "Lander", "given" : "Eric S", "non-dropping-particle" : "", "parse-names" : false, "suffix" : "" }, { "dropping-particle" : "", "family" : "Mitzenmacher", "given" : "Michael", "non-dropping-particle" : "", "parse-names" : false, "suffix" : "" }, { "dropping-particle" : "", "family" : "Sabeti", "given" : "Pardis C", "non-dropping-particle" : "", "parse-names" : false, "suffix" : "" } ], "container-title" : "Science (New York, N.Y.)", "id" : "ITEM-1", "issue" : "6062", "issued" : { "date-parts" : [ [ "2011", "12", "16" ] ] }, "page" : "1518-24", "title" : "Detecting novel associations in large data sets.", "type" : "article-journal", "volume" : "334" }, "uris" : [ "http://www.mendeley.com/documents/?uuid=5f3e2f60-b2b3-4252-be5c-fb3914d635be" ] } ], "mendeley" : { "previouslyFormattedCitation" : "(Reshef et al., 2011)" }, "properties" : { "noteIndex" : 0 }, "schema" : "https://github.com/citation-style-language/schema/raw/master/csl-citation.json" }</w:instrText>
      </w:r>
      <w:r w:rsidRPr="00B0248C">
        <w:rPr>
          <w:sz w:val="24"/>
          <w:szCs w:val="24"/>
        </w:rPr>
        <w:fldChar w:fldCharType="separate"/>
      </w:r>
      <w:r w:rsidRPr="00B23D1B">
        <w:rPr>
          <w:noProof/>
          <w:sz w:val="24"/>
          <w:szCs w:val="24"/>
        </w:rPr>
        <w:t xml:space="preserve">(Reshef </w:t>
      </w:r>
      <w:r w:rsidRPr="00B23D1B">
        <w:rPr>
          <w:i/>
          <w:noProof/>
          <w:sz w:val="24"/>
          <w:szCs w:val="24"/>
        </w:rPr>
        <w:t>et al.</w:t>
      </w:r>
      <w:r w:rsidRPr="00B23D1B">
        <w:rPr>
          <w:noProof/>
          <w:sz w:val="24"/>
          <w:szCs w:val="24"/>
        </w:rPr>
        <w:t>, 2011)</w:t>
      </w:r>
      <w:r w:rsidRPr="00B0248C">
        <w:rPr>
          <w:sz w:val="24"/>
          <w:szCs w:val="24"/>
        </w:rPr>
        <w:fldChar w:fldCharType="end"/>
      </w:r>
      <w:r w:rsidRPr="00B0248C">
        <w:rPr>
          <w:sz w:val="24"/>
          <w:szCs w:val="24"/>
        </w:rPr>
        <w:t>. Causal relationships, on the other hand, can be</w:t>
      </w:r>
      <w:r>
        <w:rPr>
          <w:sz w:val="24"/>
          <w:szCs w:val="24"/>
        </w:rPr>
        <w:t xml:space="preserve"> examined using methods such as </w:t>
      </w:r>
      <w:r w:rsidRPr="00B0248C">
        <w:rPr>
          <w:sz w:val="24"/>
          <w:szCs w:val="24"/>
        </w:rPr>
        <w:t xml:space="preserve">time-lagged regression </w:t>
      </w:r>
      <w:r w:rsidRPr="00B0248C">
        <w:rPr>
          <w:sz w:val="24"/>
          <w:szCs w:val="24"/>
        </w:rPr>
        <w:fldChar w:fldCharType="begin" w:fldLock="1"/>
      </w:r>
      <w:r>
        <w:rPr>
          <w:sz w:val="24"/>
          <w:szCs w:val="24"/>
        </w:rPr>
        <w:instrText>ADDIN CSL_CITATION { "citationItems" : [ { "id" : "ITEM-1", "itemData" : { "author" : [ { "dropping-particle" : "", "family" : "Granger", "given" : "C. W. J.", "non-dropping-particle" : "", "parse-names" : false, "suffix" : "" } ], "container-title" : "Econometrica", "id" : "ITEM-1", "issue" : "3", "issued" : { "date-parts" : [ [ "1969" ] ] }, "page" : "424-438", "title" : "Investigating Causal Relations by Econometric Models and Cross-spectral Methods Title", "type" : "article-journal", "volume" : "37" }, "uris" : [ "http://www.mendeley.com/documents/?uuid=5e98f3cd-1d1a-409f-83e3-0bfc0c4704ce" ] } ], "mendeley" : { "previouslyFormattedCitation" : "(Granger, 1969)" }, "properties" : { "noteIndex" : 0 }, "schema" : "https://github.com/citation-style-language/schema/raw/master/csl-citation.json" }</w:instrText>
      </w:r>
      <w:r w:rsidRPr="00B0248C">
        <w:rPr>
          <w:sz w:val="24"/>
          <w:szCs w:val="24"/>
        </w:rPr>
        <w:fldChar w:fldCharType="separate"/>
      </w:r>
      <w:r w:rsidRPr="00B23D1B">
        <w:rPr>
          <w:noProof/>
          <w:sz w:val="24"/>
          <w:szCs w:val="24"/>
        </w:rPr>
        <w:t>(Granger, 1969)</w:t>
      </w:r>
      <w:r w:rsidRPr="00B0248C">
        <w:rPr>
          <w:sz w:val="24"/>
          <w:szCs w:val="24"/>
        </w:rPr>
        <w:fldChar w:fldCharType="end"/>
      </w:r>
      <w:r w:rsidRPr="00B0248C">
        <w:rPr>
          <w:sz w:val="24"/>
          <w:szCs w:val="24"/>
        </w:rPr>
        <w:t xml:space="preserve">, instrumental variables </w:t>
      </w:r>
      <w:r w:rsidRPr="00B0248C">
        <w:rPr>
          <w:sz w:val="24"/>
          <w:szCs w:val="24"/>
        </w:rPr>
        <w:fldChar w:fldCharType="begin" w:fldLock="1"/>
      </w:r>
      <w:r>
        <w:rPr>
          <w:sz w:val="24"/>
          <w:szCs w:val="24"/>
        </w:rPr>
        <w:instrText>ADDIN CSL_CITATION { "citationItems" : [ { "id" : "ITEM-1", "itemData" : { "author" : [ { "dropping-particle" : "", "family" : "Bowden", "given" : "Roger J.", "non-dropping-particle" : "", "parse-names" : false, "suffix" : "" }, { "dropping-particle" : "", "family" : "Turkington", "given" : "Darrell A.", "non-dropping-particle" : "", "parse-names" : false, "suffix" : "" } ], "id" : "ITEM-1", "issued" : { "date-parts" : [ [ "1990" ] ] }, "publisher" : "Cambridge University Press", "title" : "Instrumental Variables", "type" : "book" }, "uris" : [ "http://www.mendeley.com/documents/?uuid=0412a6d6-0feb-458a-9813-1cf8df89cca8" ] } ], "mendeley" : { "previouslyFormattedCitation" : "(Bowden &amp; Turkington, 1990)" }, "properties" : { "noteIndex" : 0 }, "schema" : "https://github.com/citation-style-language/schema/raw/master/csl-citation.json" }</w:instrText>
      </w:r>
      <w:r w:rsidRPr="00B0248C">
        <w:rPr>
          <w:sz w:val="24"/>
          <w:szCs w:val="24"/>
        </w:rPr>
        <w:fldChar w:fldCharType="separate"/>
      </w:r>
      <w:r w:rsidRPr="00386113">
        <w:rPr>
          <w:noProof/>
          <w:sz w:val="24"/>
          <w:szCs w:val="24"/>
        </w:rPr>
        <w:t>(Bowden &amp; Turkington, 1990)</w:t>
      </w:r>
      <w:r w:rsidRPr="00B0248C">
        <w:rPr>
          <w:sz w:val="24"/>
          <w:szCs w:val="24"/>
        </w:rPr>
        <w:fldChar w:fldCharType="end"/>
      </w:r>
      <w:r w:rsidRPr="00B0248C">
        <w:rPr>
          <w:sz w:val="24"/>
          <w:szCs w:val="24"/>
        </w:rPr>
        <w:t xml:space="preserve">, and dynamical Bayesian networks </w:t>
      </w:r>
      <w:r w:rsidRPr="00B0248C">
        <w:rPr>
          <w:sz w:val="24"/>
          <w:szCs w:val="24"/>
        </w:rPr>
        <w:fldChar w:fldCharType="begin" w:fldLock="1"/>
      </w:r>
      <w:r>
        <w:rPr>
          <w:sz w:val="24"/>
          <w:szCs w:val="24"/>
        </w:rPr>
        <w:instrText>ADDIN CSL_CITATION { "citationItems" : [ { "id" : "ITEM-1", "itemData" : { "DOI" : "10.1186/1752-0509-3-113", "ISSN" : "1752-0509", "PMID" : "19961587", "abstract" : "BACKGROUND: Uncovering complex network structures from a biological system is one of the main topic in system biology. The network structures can be inferred by the dynamical Bayesian network or Granger causality, but neither techniques have seriously taken into account the impact of environmental inputs.\n\nRESULTS: With considerations of natural rhythmic dynamics of biological data, we propose a system biology approach to reveal the impact of environmental inputs on network structures. We first represent the environmental inputs by a harmonic oscillator and combine them with Granger causality to identify environmental inputs and then uncover the causal network structures. We also generalize it to multiple harmonic oscillators to represent various exogenous influences. This system approach is extensively tested with toy models and successfully applied to a real biological network of microarray data of the flowering genes of the model plant Arabidopsis Thaliana. The aim is to identify those genes that are directly affected by the presence of the sunlight and uncover the interactive network structures associating with flowering metabolism.\n\nCONCLUSION: We demonstrate that environmental inputs are crucial for correctly inferring network structures. Harmonic causal method is proved to be a powerful technique to detect environment inputs and uncover network structures, especially when the biological data exhibit periodic oscillations.", "author" : [ { "dropping-particle" : "", "family" : "Wu", "given" : "Jianhua", "non-dropping-particle" : "", "parse-names" : false, "suffix" : "" }, { "dropping-particle" : "", "family" : "Sinfield", "given" : "James L", "non-dropping-particle" : "", "parse-names" : false, "suffix" : "" }, { "dropping-particle" : "", "family" : "Buchanan-Wollaston", "given" : "Vicky", "non-dropping-particle" : "", "parse-names" : false, "suffix" : "" }, { "dropping-particle" : "", "family" : "Feng", "given" : "Jianfeng", "non-dropping-particle" : "", "parse-names" : false, "suffix" : "" } ], "container-title" : "BMC systems biology", "id" : "ITEM-1", "issued" : { "date-parts" : [ [ "2009", "1" ] ] }, "page" : "113", "title" : "Impact of environmental inputs on reverse-engineering approach to network structures.", "type" : "article-journal", "volume" : "3" }, "uris" : [ "http://www.mendeley.com/documents/?uuid=e5a1acaa-b15f-485e-b35e-38ae3bf8c8b9" ] } ], "mendeley" : { "previouslyFormattedCitation" : "(Wu et al., 2009)" }, "properties" : { "noteIndex" : 0 }, "schema" : "https://github.com/citation-style-language/schema/raw/master/csl-citation.json" }</w:instrText>
      </w:r>
      <w:r w:rsidRPr="00B0248C">
        <w:rPr>
          <w:sz w:val="24"/>
          <w:szCs w:val="24"/>
        </w:rPr>
        <w:fldChar w:fldCharType="separate"/>
      </w:r>
      <w:r w:rsidRPr="00B23D1B">
        <w:rPr>
          <w:noProof/>
          <w:sz w:val="24"/>
          <w:szCs w:val="24"/>
        </w:rPr>
        <w:t xml:space="preserve">(Wu </w:t>
      </w:r>
      <w:r w:rsidRPr="00B23D1B">
        <w:rPr>
          <w:i/>
          <w:noProof/>
          <w:sz w:val="24"/>
          <w:szCs w:val="24"/>
        </w:rPr>
        <w:t>et al.</w:t>
      </w:r>
      <w:r w:rsidRPr="00B23D1B">
        <w:rPr>
          <w:noProof/>
          <w:sz w:val="24"/>
          <w:szCs w:val="24"/>
        </w:rPr>
        <w:t>, 2009)</w:t>
      </w:r>
      <w:r w:rsidRPr="00B0248C">
        <w:rPr>
          <w:sz w:val="24"/>
          <w:szCs w:val="24"/>
        </w:rPr>
        <w:fldChar w:fldCharType="end"/>
      </w:r>
      <w:r w:rsidRPr="00B0248C">
        <w:rPr>
          <w:sz w:val="24"/>
          <w:szCs w:val="24"/>
        </w:rPr>
        <w:t xml:space="preserve">. </w:t>
      </w:r>
    </w:p>
    <w:p w14:paraId="61BA3852" w14:textId="6BD3C81B" w:rsidR="00103C65" w:rsidRPr="00B0248C" w:rsidRDefault="00103C65" w:rsidP="008C30B0">
      <w:pPr>
        <w:pStyle w:val="ParaNoInd"/>
        <w:spacing w:line="480" w:lineRule="auto"/>
        <w:ind w:firstLine="357"/>
        <w:rPr>
          <w:sz w:val="24"/>
          <w:szCs w:val="24"/>
        </w:rPr>
      </w:pPr>
      <w:r>
        <w:rPr>
          <w:sz w:val="24"/>
          <w:szCs w:val="24"/>
        </w:rPr>
        <w:t>T</w:t>
      </w:r>
      <w:r w:rsidRPr="00B0248C">
        <w:rPr>
          <w:sz w:val="24"/>
          <w:szCs w:val="24"/>
        </w:rPr>
        <w:t xml:space="preserve">hese causal methods are heavily model-based, </w:t>
      </w:r>
      <w:r>
        <w:rPr>
          <w:sz w:val="24"/>
          <w:szCs w:val="24"/>
        </w:rPr>
        <w:t xml:space="preserve">however. As a result, they </w:t>
      </w:r>
      <w:r w:rsidRPr="00B0248C">
        <w:rPr>
          <w:sz w:val="24"/>
          <w:szCs w:val="24"/>
        </w:rPr>
        <w:t>often falter when examining arbitrary non-linear or context-</w:t>
      </w:r>
      <w:r>
        <w:rPr>
          <w:sz w:val="24"/>
          <w:szCs w:val="24"/>
        </w:rPr>
        <w:t>dependent relationships</w:t>
      </w:r>
      <w:r w:rsidRPr="00B0248C">
        <w:rPr>
          <w:sz w:val="24"/>
          <w:szCs w:val="24"/>
        </w:rPr>
        <w:t xml:space="preserve">. Furthermore, the approaches mentioned above cannot adequately handle feedback loops, and they frequently generate both false positives and false negatives due to the influence of unmeasured confounders </w:t>
      </w:r>
      <w:r w:rsidRPr="00B0248C">
        <w:rPr>
          <w:sz w:val="24"/>
          <w:szCs w:val="24"/>
        </w:rPr>
        <w:fldChar w:fldCharType="begin" w:fldLock="1"/>
      </w:r>
      <w:r>
        <w:rPr>
          <w:sz w:val="24"/>
          <w:szCs w:val="24"/>
        </w:rPr>
        <w:instrText>ADDIN CSL_CITATION { "citationItems" : [ { "id" : "ITEM-1", "itemData" : { "DOI" : "10.1097/EDE.0b013e3181f74493", "ISSN" : "1531-5487", "PMID" : "21052008", "abstract" : "Uncontrolled confounding in observational studies gives rise to biased effect estimates. Sensitivity analysis techniques can be useful in assessing the magnitude of these biases. In this paper, we use the potential outcomes framework to derive a general class of sensitivity-analysis formulas for outcomes, treatments, and measured and unmeasured confounding variables that may be categorical or continuous. We give results for additive, risk-ratio and odds-ratio scales. We show that these results encompass a number of more specific sensitivity-analysis methods in the statistics and epidemiology literature. The applicability, usefulness, and limits of the bias-adjustment formulas are discussed. We illustrate the sensitivity-analysis techniques that follow from our results by applying them to 3 different studies. The bias formulas are particularly simple and easy to use in settings in which the unmeasured confounding variable is binary with constant effect on the outcome across treatment levels.", "author" : [ { "dropping-particle" : "", "family" : "Vanderweele", "given" : "Tyler J", "non-dropping-particle" : "", "parse-names" : false, "suffix" : "" }, { "dropping-particle" : "", "family" : "Arah", "given" : "Onyebuchi A", "non-dropping-particle" : "", "parse-names" : false, "suffix" : "" } ], "container-title" : "Epidemiology (Cambridge, Mass.)", "id" : "ITEM-1", "issue" : "1", "issued" : { "date-parts" : [ [ "2011", "1" ] ] }, "page" : "42-52", "title" : "Bias formulas for sensitivity analysis of unmeasured confounding for general outcomes, treatments, and confounders.", "type" : "article-journal", "volume" : "22" }, "uris" : [ "http://www.mendeley.com/documents/?uuid=c1636bcc-ac4f-4ac1-b79d-add5f2be7808" ] } ], "mendeley" : { "previouslyFormattedCitation" : "(Vanderweele &amp; Arah, 2011)" }, "properties" : { "noteIndex" : 0 }, "schema" : "https://github.com/citation-style-language/schema/raw/master/csl-citation.json" }</w:instrText>
      </w:r>
      <w:r w:rsidRPr="00B0248C">
        <w:rPr>
          <w:sz w:val="24"/>
          <w:szCs w:val="24"/>
        </w:rPr>
        <w:fldChar w:fldCharType="separate"/>
      </w:r>
      <w:r w:rsidRPr="00386113">
        <w:rPr>
          <w:noProof/>
          <w:sz w:val="24"/>
          <w:szCs w:val="24"/>
        </w:rPr>
        <w:t>(Vanderweele &amp; Arah, 2011)</w:t>
      </w:r>
      <w:r w:rsidRPr="00B0248C">
        <w:rPr>
          <w:sz w:val="24"/>
          <w:szCs w:val="24"/>
        </w:rPr>
        <w:fldChar w:fldCharType="end"/>
      </w:r>
      <w:r w:rsidRPr="00B0248C">
        <w:rPr>
          <w:sz w:val="24"/>
          <w:szCs w:val="24"/>
        </w:rPr>
        <w:t>. These are significant liabilities</w:t>
      </w:r>
      <w:r>
        <w:rPr>
          <w:sz w:val="24"/>
          <w:szCs w:val="24"/>
        </w:rPr>
        <w:t>, particularly in biomedicine,</w:t>
      </w:r>
      <w:r w:rsidRPr="00B0248C">
        <w:rPr>
          <w:sz w:val="24"/>
          <w:szCs w:val="24"/>
        </w:rPr>
        <w:t xml:space="preserve"> where relationships are </w:t>
      </w:r>
      <w:r w:rsidR="00C95FAD">
        <w:rPr>
          <w:sz w:val="24"/>
          <w:szCs w:val="24"/>
        </w:rPr>
        <w:t>usually</w:t>
      </w:r>
      <w:r w:rsidRPr="00B0248C">
        <w:rPr>
          <w:sz w:val="24"/>
          <w:szCs w:val="24"/>
        </w:rPr>
        <w:t xml:space="preserve"> embedded within a broad network of </w:t>
      </w:r>
      <w:r w:rsidR="00C95FAD">
        <w:rPr>
          <w:sz w:val="24"/>
          <w:szCs w:val="24"/>
        </w:rPr>
        <w:t>incompletely</w:t>
      </w:r>
      <w:r>
        <w:rPr>
          <w:sz w:val="24"/>
          <w:szCs w:val="24"/>
        </w:rPr>
        <w:t xml:space="preserve"> observed</w:t>
      </w:r>
      <w:r w:rsidRPr="00B0248C">
        <w:rPr>
          <w:sz w:val="24"/>
          <w:szCs w:val="24"/>
        </w:rPr>
        <w:t xml:space="preserve"> interactions.</w:t>
      </w:r>
    </w:p>
    <w:p w14:paraId="400F8F1C" w14:textId="77777777" w:rsidR="00103C65" w:rsidRPr="00FD0E2C" w:rsidRDefault="00103C65" w:rsidP="008C30B0">
      <w:pPr>
        <w:pStyle w:val="ParaNoInd"/>
        <w:spacing w:line="480" w:lineRule="auto"/>
        <w:ind w:firstLine="357"/>
        <w:rPr>
          <w:sz w:val="24"/>
          <w:szCs w:val="24"/>
        </w:rPr>
      </w:pPr>
      <w:r w:rsidRPr="00B0248C">
        <w:rPr>
          <w:sz w:val="24"/>
          <w:szCs w:val="24"/>
        </w:rPr>
        <w:t xml:space="preserve">In this </w:t>
      </w:r>
      <w:r>
        <w:rPr>
          <w:sz w:val="24"/>
          <w:szCs w:val="24"/>
        </w:rPr>
        <w:t>paper, we present the first publicly available, open source</w:t>
      </w:r>
      <w:r w:rsidRPr="00B0248C">
        <w:rPr>
          <w:sz w:val="24"/>
          <w:szCs w:val="24"/>
        </w:rPr>
        <w:t xml:space="preserve"> implementation of convergent cross mapping (CCM), a model-free approach to detecting dependencies and inferring causality in complex non-linear systems (even in the presence of feedback loops and unmeasured confounding; </w:t>
      </w:r>
      <w:r w:rsidRPr="00B0248C">
        <w:rPr>
          <w:sz w:val="24"/>
          <w:szCs w:val="24"/>
        </w:rPr>
        <w:fldChar w:fldCharType="begin" w:fldLock="1"/>
      </w:r>
      <w:r>
        <w:rPr>
          <w:sz w:val="24"/>
          <w:szCs w:val="24"/>
        </w:rPr>
        <w:instrText>ADDIN CSL_CITATION { "citationItems" : [ { "id" : "ITEM-1", "itemData" : { "DOI" : "10.1126/science.1227079", "ISSN" : "1095-9203", "PMID" : "22997134", "abstract" : "Identifying causal networks is important for effective policy and management recommendations on climate, epidemiology, financial regulation, and much else. We introduce a method, based on nonlinear state space reconstruction, that can distinguish causality from correlation. It extends to nonseparable weakly connected dynamic systems (cases not covered by the current Granger causality paradigm). The approach is illustrated both by simple models (where, in contrast to the real world, we know the underlying equations/relations and so can check the validity of our method) and by application to real ecological systems, including the controversial sardine-anchovy-temperature problem.", "author" : [ { "dropping-particle" : "", "family" : "Sugihara", "given" : "George", "non-dropping-particle" : "", "parse-names" : false, "suffix" : "" }, { "dropping-particle" : "", "family" : "May", "given" : "Robert", "non-dropping-particle" : "", "parse-names" : false, "suffix" : "" }, { "dropping-particle" : "", "family" : "Ye", "given" : "Hao", "non-dropping-particle" : "", "parse-names" : false, "suffix" : "" }, { "dropping-particle" : "", "family" : "Hsieh", "given" : "Chih-hao", "non-dropping-particle" : "", "parse-names" : false, "suffix" : "" }, { "dropping-particle" : "", "family" : "Deyle", "given" : "Ethan", "non-dropping-particle" : "", "parse-names" : false, "suffix" : "" }, { "dropping-particle" : "", "family" : "Fogarty", "given" : "Michael", "non-dropping-particle" : "", "parse-names" : false, "suffix" : "" }, { "dropping-particle" : "", "family" : "Munch", "given" : "Stephan", "non-dropping-particle" : "", "parse-names" : false, "suffix" : "" } ], "container-title" : "Science (New York, N.Y.)", "id" : "ITEM-1", "issue" : "6106", "issued" : { "date-parts" : [ [ "2012", "10", "26" ] ] }, "page" : "496-500", "title" : "Detecting causality in complex ecosystems.", "type" : "article-journal", "volume" : "338" }, "uris" : [ "http://www.mendeley.com/documents/?uuid=da4162f8-25aa-4bf3-901f-93aec23bb85e" ] } ], "mendeley" : { "manualFormatting" : "Sugihara et al., 2012)", "previouslyFormattedCitation" : "(Sugihara et al., 2012)" }, "properties" : { "noteIndex" : 0 }, "schema" : "https://github.com/citation-style-language/schema/raw/master/csl-citation.json" }</w:instrText>
      </w:r>
      <w:r w:rsidRPr="00B0248C">
        <w:rPr>
          <w:sz w:val="24"/>
          <w:szCs w:val="24"/>
        </w:rPr>
        <w:fldChar w:fldCharType="separate"/>
      </w:r>
      <w:r w:rsidRPr="00B0248C">
        <w:rPr>
          <w:noProof/>
          <w:sz w:val="24"/>
          <w:szCs w:val="24"/>
        </w:rPr>
        <w:t xml:space="preserve">Sugihara </w:t>
      </w:r>
      <w:r w:rsidRPr="00B0248C">
        <w:rPr>
          <w:i/>
          <w:noProof/>
          <w:sz w:val="24"/>
          <w:szCs w:val="24"/>
        </w:rPr>
        <w:t>et al.</w:t>
      </w:r>
      <w:r w:rsidRPr="00B0248C">
        <w:rPr>
          <w:noProof/>
          <w:sz w:val="24"/>
          <w:szCs w:val="24"/>
        </w:rPr>
        <w:t>, 2012)</w:t>
      </w:r>
      <w:r w:rsidRPr="00B0248C">
        <w:rPr>
          <w:sz w:val="24"/>
          <w:szCs w:val="24"/>
        </w:rPr>
        <w:fldChar w:fldCharType="end"/>
      </w:r>
      <w:r w:rsidRPr="00B0248C">
        <w:rPr>
          <w:sz w:val="24"/>
          <w:szCs w:val="24"/>
        </w:rPr>
        <w:t xml:space="preserve">. CCM derives this power from explicitly capturing time-dependent dynamics through a technique known as state-space reconstruction (SSR). SSR has demonstrated utility for problems as diverse as wildlife management </w:t>
      </w:r>
      <w:r w:rsidRPr="00B0248C">
        <w:rPr>
          <w:sz w:val="24"/>
          <w:szCs w:val="24"/>
        </w:rPr>
        <w:fldChar w:fldCharType="begin" w:fldLock="1"/>
      </w:r>
      <w:r>
        <w:rPr>
          <w:sz w:val="24"/>
          <w:szCs w:val="24"/>
        </w:rPr>
        <w:instrText>ADDIN CSL_CITATION { "citationItems" : [ { "id" : "ITEM-1", "itemData" : { "DOI" : "10.1126/science.283.5407.1528", "ISSN" : "00368075", "abstract" : "The lack of a clear relationship between spawning output and recruitment success continues to confound attempts to understand and manage temporally variable fish populations. This relationship for a common reef fish is shown to be obscured by nonlinear processes in operation during the larval phase. Nonlinear responses of larval fish to their noisy physical environment may offer a general explanation for the erratic, often episodic, replenishment of open marine populations.", "author" : [ { "dropping-particle" : "", "family" : "Dixon", "given" : "P. A.", "non-dropping-particle" : "", "parse-names" : false, "suffix" : "" }, { "dropping-particle" : "", "family" : "Milicich", "given" : "M. J.", "non-dropping-particle" : "", "parse-names" : false, "suffix" : "" }, { "dropping-particle" : "", "family" : "Sugihara", "given" : "George", "non-dropping-particle" : "", "parse-names" : false, "suffix" : "" } ], "container-title" : "Science", "id" : "ITEM-1", "issue" : "5407", "issued" : { "date-parts" : [ [ "1999", "3", "5" ] ] }, "page" : "1528-1530", "title" : "Episodic Fluctuations in Larval Supply", "type" : "article-journal", "volume" : "283" }, "uris" : [ "http://www.mendeley.com/documents/?uuid=03122d73-5d58-431d-8f0b-baca14b1866a" ] }, { "id" : "ITEM-2", "itemData" : { "DOI" : "10.1073/pnas.1215506110", "ISSN" : "1091-6490", "PMID" : "23536299", "abstract" : "For many marine species and habitats, climate change and overfishing present a double threat. To manage marine resources effectively, it is necessary to adapt management to changes in the physical environment. Simple relationships between environmental conditions and fish abundance have long been used in both fisheries and fishery management. In many cases, however, physical, biological, and human variables feed back on each other. For these systems, associations between variables can change as the system evolves in time. This can obscure relationships between population dynamics and environmental variability, undermining our ability to forecast changes in populations tied to physical processes. Here we present a methodology for identifying physical forcing variables based on nonlinear forecasting and show how the method provides a predictive understanding of the influence of physical forcing on Pacific sardine.", "author" : [ { "dropping-particle" : "", "family" : "Deyle", "given" : "Ethan R", "non-dropping-particle" : "", "parse-names" : false, "suffix" : "" }, { "dropping-particle" : "", "family" : "Fogarty", "given" : "Michael", "non-dropping-particle" : "", "parse-names" : false, "suffix" : "" }, { "dropping-particle" : "", "family" : "Hsieh", "given" : "Chih-hao", "non-dropping-particle" : "", "parse-names" : false, "suffix" : "" }, { "dropping-particle" : "", "family" : "Kaufman", "given" : "Les", "non-dropping-particle" : "", "parse-names" : false, "suffix" : "" }, { "dropping-particle" : "", "family" : "MacCall", "given" : "Alec D", "non-dropping-particle" : "", "parse-names" : false, "suffix" : "" }, { "dropping-particle" : "", "family" : "Munch", "given" : "Stephan B", "non-dropping-particle" : "", "parse-names" : false, "suffix" : "" }, { "dropping-particle" : "", "family" : "Perretti", "given" : "Charles T", "non-dropping-particle" : "", "parse-names" : false, "suffix" : "" }, { "dropping-particle" : "", "family" : "Ye", "given" : "Hao", "non-dropping-particle" : "", "parse-names" : false, "suffix" : "" }, { "dropping-particle" : "", "family" : "Sugihara", "given" : "George", "non-dropping-particle" : "", "parse-names" : false, "suffix" : "" } ], "container-title" : "Proceedings of the National Academy of Sciences of the United States of America", "id" : "ITEM-2", "issue" : "16", "issued" : { "date-parts" : [ [ "2013", "4", "16" ] ] }, "page" : "6430-5", "title" : "Predicting climate effects on Pacific sardine.", "type" : "article-journal", "volume" : "110" }, "uris" : [ "http://www.mendeley.com/documents/?uuid=c3a5522b-8795-4733-bb55-8d34700edd3b" ] } ], "mendeley" : { "previouslyFormattedCitation" : "(Dixon, Milicich &amp; Sugihara, 1999; Deyle et al., 2013)" }, "properties" : { "noteIndex" : 0 }, "schema" : "https://github.com/citation-style-language/schema/raw/master/csl-citation.json" }</w:instrText>
      </w:r>
      <w:r w:rsidRPr="00B0248C">
        <w:rPr>
          <w:sz w:val="24"/>
          <w:szCs w:val="24"/>
        </w:rPr>
        <w:fldChar w:fldCharType="separate"/>
      </w:r>
      <w:r w:rsidRPr="00386113">
        <w:rPr>
          <w:noProof/>
          <w:sz w:val="24"/>
          <w:szCs w:val="24"/>
        </w:rPr>
        <w:t>(Dixon, Milicich &amp; Sugihara, 1999; Deyle et al., 2013)</w:t>
      </w:r>
      <w:r w:rsidRPr="00B0248C">
        <w:rPr>
          <w:sz w:val="24"/>
          <w:szCs w:val="24"/>
        </w:rPr>
        <w:fldChar w:fldCharType="end"/>
      </w:r>
      <w:r w:rsidRPr="00B0248C">
        <w:rPr>
          <w:sz w:val="24"/>
          <w:szCs w:val="24"/>
        </w:rPr>
        <w:t xml:space="preserve"> and cerebral autoregulation </w:t>
      </w:r>
      <w:r w:rsidRPr="00B0248C">
        <w:rPr>
          <w:sz w:val="24"/>
          <w:szCs w:val="24"/>
        </w:rPr>
        <w:fldChar w:fldCharType="begin" w:fldLock="1"/>
      </w:r>
      <w:r>
        <w:rPr>
          <w:sz w:val="24"/>
          <w:szCs w:val="24"/>
        </w:rPr>
        <w:instrText>ADDIN CSL_CITATION { "citationItems" : [ { "id" : "ITEM-1", "itemData" : { "ISSN" : "1015-9770", "author" : [ { "dropping-particle" : "", "family" : "Heskamp", "given" : "L.", "non-dropping-particle" : "", "parse-names" : false, "suffix" : "" }, { "dropping-particle" : "", "family" : "Meel-van den Abeelen", "given" : "A.", "non-dropping-particle" : "", "parse-names" : false, "suffix" : "" }, { "dropping-particle" : "", "family" : "Katsogridakis", "given" : "E.", "non-dropping-particle" : "", "parse-names" : false, "suffix" : "" }, { "dropping-particle" : "", "family" : "Panerai", "given" : "R.", "non-dropping-particle" : "", "parse-names" : false, "suffix" : "" }, { "dropping-particle" : "", "family" : "Simpson", "given" : "D.", "non-dropping-particle" : "", "parse-names" : false, "suffix" : "" }, { "dropping-particle" : "", "family" : "Lagro", "given" : "J.", "non-dropping-particle" : "", "parse-names" : false, "suffix" : "" }, { "dropping-particle" : "", "family" : "Claassen", "given" : "J.", "non-dropping-particle" : "", "parse-names" : false, "suffix" : "" } ], "container-title" : "CEREBROVASCULAR DISEASES", "id" : "ITEM-1", "issued" : { "date-parts" : [ [ "2013" ] ] }, "page" : "15-16", "publisher" : "KARGER, ALLSCHWILERSTRASSE 10, CH-4009 BASEL, SWITZERLAND", "title" : "Convergent cross mapping: a promising technique for future cerebral autoregulation estimation", "type" : "article-journal", "volume" : "35" }, "uris" : [ "http://www.mendeley.com/documents/?uuid=97e0269b-edd8-433a-beda-9bc545549c0f" ] } ], "mendeley" : { "previouslyFormattedCitation" : "(Heskamp et al., 2013)" }, "properties" : { "noteIndex" : 0 }, "schema" : "https://github.com/citation-style-language/schema/raw/master/csl-citation.json" }</w:instrText>
      </w:r>
      <w:r w:rsidRPr="00B0248C">
        <w:rPr>
          <w:sz w:val="24"/>
          <w:szCs w:val="24"/>
        </w:rPr>
        <w:fldChar w:fldCharType="separate"/>
      </w:r>
      <w:r w:rsidRPr="00B23D1B">
        <w:rPr>
          <w:noProof/>
          <w:sz w:val="24"/>
          <w:szCs w:val="24"/>
        </w:rPr>
        <w:t xml:space="preserve">(Heskamp </w:t>
      </w:r>
      <w:r w:rsidRPr="00B23D1B">
        <w:rPr>
          <w:i/>
          <w:noProof/>
          <w:sz w:val="24"/>
          <w:szCs w:val="24"/>
        </w:rPr>
        <w:t>et al.</w:t>
      </w:r>
      <w:r w:rsidRPr="00B23D1B">
        <w:rPr>
          <w:noProof/>
          <w:sz w:val="24"/>
          <w:szCs w:val="24"/>
        </w:rPr>
        <w:t>, 2013)</w:t>
      </w:r>
      <w:r w:rsidRPr="00B0248C">
        <w:rPr>
          <w:sz w:val="24"/>
          <w:szCs w:val="24"/>
        </w:rPr>
        <w:fldChar w:fldCharType="end"/>
      </w:r>
      <w:r w:rsidRPr="00B0248C">
        <w:rPr>
          <w:sz w:val="24"/>
          <w:szCs w:val="24"/>
        </w:rPr>
        <w:t>. In practice, this analysis typically re</w:t>
      </w:r>
      <w:r>
        <w:rPr>
          <w:sz w:val="24"/>
          <w:szCs w:val="24"/>
        </w:rPr>
        <w:t>quires at least 25 data points</w:t>
      </w:r>
      <w:r w:rsidRPr="00B0248C">
        <w:rPr>
          <w:sz w:val="24"/>
          <w:szCs w:val="24"/>
        </w:rPr>
        <w:t xml:space="preserve">, measured with sufficient density to capture system dynamics. </w:t>
      </w:r>
    </w:p>
    <w:p w14:paraId="2FF1FF89" w14:textId="4D952A4A" w:rsidR="00103C65" w:rsidRPr="00B0248C" w:rsidRDefault="00103C65" w:rsidP="008C30B0">
      <w:pPr>
        <w:pStyle w:val="ParaNoInd0"/>
        <w:spacing w:line="480" w:lineRule="auto"/>
        <w:ind w:firstLine="357"/>
        <w:rPr>
          <w:sz w:val="24"/>
          <w:szCs w:val="24"/>
        </w:rPr>
      </w:pPr>
      <w:r w:rsidRPr="00B0248C">
        <w:rPr>
          <w:sz w:val="24"/>
          <w:szCs w:val="24"/>
        </w:rPr>
        <w:t>CCM leverag</w:t>
      </w:r>
      <w:r w:rsidR="00C95FAD">
        <w:rPr>
          <w:sz w:val="24"/>
          <w:szCs w:val="24"/>
        </w:rPr>
        <w:t>es</w:t>
      </w:r>
      <w:r w:rsidRPr="00B0248C">
        <w:rPr>
          <w:sz w:val="24"/>
          <w:szCs w:val="24"/>
        </w:rPr>
        <w:t xml:space="preserve"> the fact that time series can be viewed as projections of higher-dimensional system dynamics</w:t>
      </w:r>
      <w:r>
        <w:rPr>
          <w:sz w:val="24"/>
          <w:szCs w:val="24"/>
        </w:rPr>
        <w:t xml:space="preserve"> (</w:t>
      </w:r>
      <w:r w:rsidRPr="00B0248C">
        <w:rPr>
          <w:noProof/>
          <w:sz w:val="24"/>
          <w:szCs w:val="24"/>
        </w:rPr>
        <w:t xml:space="preserve">Sugihara </w:t>
      </w:r>
      <w:r w:rsidRPr="00B0248C">
        <w:rPr>
          <w:i/>
          <w:noProof/>
          <w:sz w:val="24"/>
          <w:szCs w:val="24"/>
        </w:rPr>
        <w:t>et al.</w:t>
      </w:r>
      <w:r w:rsidRPr="00B0248C">
        <w:rPr>
          <w:noProof/>
          <w:sz w:val="24"/>
          <w:szCs w:val="24"/>
        </w:rPr>
        <w:t>, 2012</w:t>
      </w:r>
      <w:r>
        <w:rPr>
          <w:sz w:val="24"/>
          <w:szCs w:val="24"/>
        </w:rPr>
        <w:t>)</w:t>
      </w:r>
      <w:r w:rsidRPr="00B0248C">
        <w:rPr>
          <w:sz w:val="24"/>
          <w:szCs w:val="24"/>
        </w:rPr>
        <w:t xml:space="preserve">. </w:t>
      </w:r>
      <w:r>
        <w:rPr>
          <w:sz w:val="24"/>
          <w:szCs w:val="24"/>
        </w:rPr>
        <w:t xml:space="preserve">As a </w:t>
      </w:r>
      <w:r w:rsidR="00C95FAD">
        <w:rPr>
          <w:sz w:val="24"/>
          <w:szCs w:val="24"/>
        </w:rPr>
        <w:t xml:space="preserve">logical </w:t>
      </w:r>
      <w:r>
        <w:rPr>
          <w:sz w:val="24"/>
          <w:szCs w:val="24"/>
        </w:rPr>
        <w:t>result of this property, t</w:t>
      </w:r>
      <w:r w:rsidRPr="00B0248C">
        <w:rPr>
          <w:sz w:val="24"/>
          <w:szCs w:val="24"/>
        </w:rPr>
        <w:t xml:space="preserve">he time series of individual variables </w:t>
      </w:r>
      <w:r>
        <w:rPr>
          <w:sz w:val="24"/>
          <w:szCs w:val="24"/>
        </w:rPr>
        <w:t xml:space="preserve">must </w:t>
      </w:r>
      <w:r w:rsidRPr="00B0248C">
        <w:rPr>
          <w:sz w:val="24"/>
          <w:szCs w:val="24"/>
        </w:rPr>
        <w:t xml:space="preserve">contain information about the full causal system. </w:t>
      </w:r>
      <w:r>
        <w:rPr>
          <w:sz w:val="24"/>
          <w:szCs w:val="24"/>
        </w:rPr>
        <w:t>Causal dynamics</w:t>
      </w:r>
      <w:r w:rsidRPr="00B0248C">
        <w:rPr>
          <w:sz w:val="24"/>
          <w:szCs w:val="24"/>
        </w:rPr>
        <w:t xml:space="preserve"> (conceptualized as the state space, or manifold) can </w:t>
      </w:r>
      <w:r>
        <w:rPr>
          <w:sz w:val="24"/>
          <w:szCs w:val="24"/>
        </w:rPr>
        <w:t xml:space="preserve">then </w:t>
      </w:r>
      <w:r w:rsidRPr="00B0248C">
        <w:rPr>
          <w:sz w:val="24"/>
          <w:szCs w:val="24"/>
        </w:rPr>
        <w:t>be reconstructe</w:t>
      </w:r>
      <w:r>
        <w:rPr>
          <w:sz w:val="24"/>
          <w:szCs w:val="24"/>
        </w:rPr>
        <w:t>d using individual time series. These reconstructions can be thought of as shadows of the true causal system. If the shadows reconstructed from distinct variables can be used to predict points from each other’s time series, we can infer that these variables provide views of the same causal system and so are causally related. Since these relationships are fundamentally asymmetric, this test can also establish the directionality of causation.</w:t>
      </w:r>
    </w:p>
    <w:p w14:paraId="71E506DB" w14:textId="77777777" w:rsidR="00103C65" w:rsidRPr="00B0248C" w:rsidRDefault="00103C65" w:rsidP="008C30B0">
      <w:pPr>
        <w:pStyle w:val="ParaNoInd0"/>
        <w:spacing w:line="480" w:lineRule="auto"/>
        <w:ind w:firstLine="357"/>
        <w:rPr>
          <w:iCs/>
          <w:sz w:val="24"/>
          <w:szCs w:val="24"/>
        </w:rPr>
      </w:pPr>
      <w:r w:rsidRPr="00B0248C">
        <w:rPr>
          <w:sz w:val="24"/>
          <w:szCs w:val="24"/>
        </w:rPr>
        <w:t xml:space="preserve">Further details </w:t>
      </w:r>
      <w:r>
        <w:rPr>
          <w:sz w:val="24"/>
          <w:szCs w:val="24"/>
        </w:rPr>
        <w:t xml:space="preserve">on CCM </w:t>
      </w:r>
      <w:r w:rsidRPr="00B0248C">
        <w:rPr>
          <w:sz w:val="24"/>
          <w:szCs w:val="24"/>
        </w:rPr>
        <w:t>are available in the supplementary material</w:t>
      </w:r>
      <w:r>
        <w:rPr>
          <w:sz w:val="24"/>
          <w:szCs w:val="24"/>
        </w:rPr>
        <w:t xml:space="preserve"> of this paper, as well as in that of</w:t>
      </w:r>
      <w:r w:rsidRPr="00B0248C">
        <w:rPr>
          <w:sz w:val="24"/>
          <w:szCs w:val="24"/>
        </w:rPr>
        <w:t xml:space="preserve"> Sugihara </w:t>
      </w:r>
      <w:r w:rsidRPr="00B0248C">
        <w:rPr>
          <w:i/>
          <w:sz w:val="24"/>
          <w:szCs w:val="24"/>
        </w:rPr>
        <w:t xml:space="preserve">et al. </w:t>
      </w:r>
      <w:r>
        <w:rPr>
          <w:sz w:val="24"/>
          <w:szCs w:val="24"/>
        </w:rPr>
        <w:t>2012.  Additional explanatory resources can also be accessed through t</w:t>
      </w:r>
      <w:r w:rsidRPr="00B0248C">
        <w:rPr>
          <w:sz w:val="24"/>
          <w:szCs w:val="24"/>
        </w:rPr>
        <w:t>he project website</w:t>
      </w:r>
      <w:r>
        <w:rPr>
          <w:sz w:val="24"/>
          <w:szCs w:val="24"/>
        </w:rPr>
        <w:t xml:space="preserve"> (</w:t>
      </w:r>
      <w:hyperlink r:id="rId8" w:history="1">
        <w:r w:rsidRPr="008B2371">
          <w:rPr>
            <w:rStyle w:val="Hyperlink"/>
            <w:sz w:val="24"/>
            <w:szCs w:val="24"/>
          </w:rPr>
          <w:t>http://cyrusmaher.github.io/CauseMap.jl</w:t>
        </w:r>
      </w:hyperlink>
      <w:r>
        <w:rPr>
          <w:sz w:val="24"/>
          <w:szCs w:val="24"/>
        </w:rPr>
        <w:t>)</w:t>
      </w:r>
      <w:r w:rsidRPr="00B0248C">
        <w:rPr>
          <w:sz w:val="24"/>
          <w:szCs w:val="24"/>
        </w:rPr>
        <w:t>.</w:t>
      </w:r>
    </w:p>
    <w:p w14:paraId="7A44E276" w14:textId="77777777" w:rsidR="00103C65" w:rsidRPr="00103C65" w:rsidRDefault="00103C65" w:rsidP="008C30B0">
      <w:pPr>
        <w:pStyle w:val="Heading1"/>
        <w:spacing w:line="480" w:lineRule="auto"/>
      </w:pPr>
      <w:r w:rsidRPr="001069D8">
        <w:t>Materials and Methods</w:t>
      </w:r>
    </w:p>
    <w:p w14:paraId="3FB0C014" w14:textId="77777777" w:rsidR="00103C65" w:rsidRDefault="000E607A" w:rsidP="008C30B0">
      <w:pPr>
        <w:pStyle w:val="Heading2"/>
        <w:spacing w:line="480" w:lineRule="auto"/>
      </w:pPr>
      <w:r>
        <w:t>CauseMap is fast</w:t>
      </w:r>
    </w:p>
    <w:p w14:paraId="7AC598CD" w14:textId="77777777" w:rsidR="00103C65" w:rsidRDefault="00103C65" w:rsidP="008C30B0">
      <w:pPr>
        <w:pStyle w:val="ParaNoInd"/>
        <w:spacing w:line="480" w:lineRule="auto"/>
        <w:rPr>
          <w:sz w:val="24"/>
          <w:szCs w:val="24"/>
        </w:rPr>
      </w:pPr>
      <w:r w:rsidRPr="00B0248C">
        <w:rPr>
          <w:sz w:val="24"/>
          <w:szCs w:val="24"/>
        </w:rPr>
        <w:t xml:space="preserve">CauseMap </w:t>
      </w:r>
      <w:r>
        <w:rPr>
          <w:sz w:val="24"/>
          <w:szCs w:val="24"/>
        </w:rPr>
        <w:t xml:space="preserve">implements CCM </w:t>
      </w:r>
      <w:r w:rsidRPr="00B0248C">
        <w:rPr>
          <w:sz w:val="24"/>
          <w:szCs w:val="24"/>
        </w:rPr>
        <w:t xml:space="preserve">in Julia, </w:t>
      </w:r>
      <w:r>
        <w:rPr>
          <w:bCs/>
          <w:sz w:val="24"/>
          <w:szCs w:val="24"/>
        </w:rPr>
        <w:t xml:space="preserve">a high-performance </w:t>
      </w:r>
      <w:r w:rsidRPr="000E5426">
        <w:rPr>
          <w:bCs/>
          <w:sz w:val="24"/>
          <w:szCs w:val="24"/>
        </w:rPr>
        <w:t xml:space="preserve">programming language designed for </w:t>
      </w:r>
      <w:r>
        <w:rPr>
          <w:bCs/>
          <w:sz w:val="24"/>
          <w:szCs w:val="24"/>
        </w:rPr>
        <w:t xml:space="preserve">facile </w:t>
      </w:r>
      <w:r w:rsidRPr="000E5426">
        <w:rPr>
          <w:bCs/>
          <w:sz w:val="24"/>
          <w:szCs w:val="24"/>
        </w:rPr>
        <w:t>technical computing</w:t>
      </w:r>
      <w:r w:rsidRPr="00B0248C">
        <w:rPr>
          <w:sz w:val="24"/>
          <w:szCs w:val="24"/>
        </w:rPr>
        <w:t xml:space="preserve"> </w:t>
      </w:r>
      <w:r w:rsidRPr="00B0248C">
        <w:rPr>
          <w:sz w:val="24"/>
          <w:szCs w:val="24"/>
        </w:rPr>
        <w:fldChar w:fldCharType="begin" w:fldLock="1"/>
      </w:r>
      <w:r>
        <w:rPr>
          <w:sz w:val="24"/>
          <w:szCs w:val="24"/>
        </w:rPr>
        <w:instrText>ADDIN CSL_CITATION { "citationItems" : [ { "id" : "ITEM-1", "itemData" : { "abstract" : "Dynamic languages have become popular for scientific computing. They are generally considered highly productive, but lacking in performance. This paper presents Julia, a new dynamic language for technical computing, designed for performance from the beginning by adapting and extending modern programming language techniques. A design based on generic functions and a rich type system simultaneously enables an expressive programming model and successful type inference, leading to good performance for a wide range of programs. This makes it possible for much of the Julia library to be written in Julia itself, while also incorporating best-of-breed C and Fortran libraries.", "author" : [ { "dropping-particle" : "", "family" : "Bezanson", "given" : "Jeff", "non-dropping-particle" : "", "parse-names" : false, "suffix" : "" }, { "dropping-particle" : "", "family" : "Karpinski", "given" : "Stefan", "non-dropping-particle" : "", "parse-names" : false, "suffix" : "" }, { "dropping-particle" : "", "family" : "Shah", "given" : "Viral B.", "non-dropping-particle" : "", "parse-names" : false, "suffix" : "" }, { "dropping-particle" : "", "family" : "Edelman", "given" : "Alan", "non-dropping-particle" : "", "parse-names" : false, "suffix" : "" } ], "genre" : "Programming Languages; Computational Engineering, Finance, and Science", "id" : "ITEM-1", "issued" : { "date-parts" : [ [ "2012", "9", "23" ] ] }, "title" : "Julia: A Fast Dynamic Language for Technical Computing", "type" : "article-journal" }, "uris" : [ "http://www.mendeley.com/documents/?uuid=77c1e986-920e-407c-8964-7e1f02f75148" ] } ], "mendeley" : { "previouslyFormattedCitation" : "(Bezanson et al., 2012)" }, "properties" : { "noteIndex" : 0 }, "schema" : "https://github.com/citation-style-language/schema/raw/master/csl-citation.json" }</w:instrText>
      </w:r>
      <w:r w:rsidRPr="00B0248C">
        <w:rPr>
          <w:sz w:val="24"/>
          <w:szCs w:val="24"/>
        </w:rPr>
        <w:fldChar w:fldCharType="separate"/>
      </w:r>
      <w:r w:rsidRPr="00B23D1B">
        <w:rPr>
          <w:noProof/>
          <w:sz w:val="24"/>
          <w:szCs w:val="24"/>
        </w:rPr>
        <w:t xml:space="preserve">(Bezanson </w:t>
      </w:r>
      <w:r w:rsidRPr="00B23D1B">
        <w:rPr>
          <w:i/>
          <w:noProof/>
          <w:sz w:val="24"/>
          <w:szCs w:val="24"/>
        </w:rPr>
        <w:t>et al.</w:t>
      </w:r>
      <w:r w:rsidRPr="00B23D1B">
        <w:rPr>
          <w:noProof/>
          <w:sz w:val="24"/>
          <w:szCs w:val="24"/>
        </w:rPr>
        <w:t>, 2012)</w:t>
      </w:r>
      <w:r w:rsidRPr="00B0248C">
        <w:rPr>
          <w:sz w:val="24"/>
          <w:szCs w:val="24"/>
        </w:rPr>
        <w:fldChar w:fldCharType="end"/>
      </w:r>
      <w:r w:rsidRPr="00B0248C">
        <w:rPr>
          <w:sz w:val="24"/>
          <w:szCs w:val="24"/>
        </w:rPr>
        <w:t xml:space="preserve">. Via intelligent JIT (just in time) compilation, Julia offers much of the speed of low-level, low-productivity languages like C, while also providing the ease of use and platform independence of much slower high-level languages like Python, R, or Matlab. </w:t>
      </w:r>
    </w:p>
    <w:p w14:paraId="260E0AAA" w14:textId="775BDBAF" w:rsidR="000E607A" w:rsidRDefault="00103C65" w:rsidP="008C30B0">
      <w:pPr>
        <w:pStyle w:val="ParaNoInd"/>
        <w:spacing w:line="480" w:lineRule="auto"/>
        <w:rPr>
          <w:sz w:val="24"/>
          <w:szCs w:val="24"/>
        </w:rPr>
      </w:pPr>
      <w:r>
        <w:rPr>
          <w:sz w:val="24"/>
          <w:szCs w:val="24"/>
        </w:rPr>
        <w:t xml:space="preserve">At the core of CauseMap is the calculation of distances between a large number of </w:t>
      </w:r>
      <w:r w:rsidR="00016FB0">
        <w:rPr>
          <w:sz w:val="24"/>
          <w:szCs w:val="24"/>
        </w:rPr>
        <w:t xml:space="preserve">manifold </w:t>
      </w:r>
      <w:r>
        <w:rPr>
          <w:sz w:val="24"/>
          <w:szCs w:val="24"/>
        </w:rPr>
        <w:t xml:space="preserve">points in </w:t>
      </w:r>
      <w:r w:rsidR="00016FB0">
        <w:rPr>
          <w:sz w:val="24"/>
          <w:szCs w:val="24"/>
        </w:rPr>
        <w:t xml:space="preserve">potentially </w:t>
      </w:r>
      <w:r>
        <w:rPr>
          <w:sz w:val="24"/>
          <w:szCs w:val="24"/>
        </w:rPr>
        <w:t xml:space="preserve">high dimensional spaces. </w:t>
      </w:r>
      <w:r w:rsidR="00861597">
        <w:rPr>
          <w:sz w:val="24"/>
          <w:szCs w:val="24"/>
        </w:rPr>
        <w:t>To optimize efficiency</w:t>
      </w:r>
      <w:r w:rsidR="00016FB0">
        <w:rPr>
          <w:sz w:val="24"/>
          <w:szCs w:val="24"/>
        </w:rPr>
        <w:t xml:space="preserve">, </w:t>
      </w:r>
      <w:r w:rsidR="00016FB0" w:rsidRPr="00B0248C">
        <w:rPr>
          <w:sz w:val="24"/>
          <w:szCs w:val="24"/>
        </w:rPr>
        <w:t xml:space="preserve">CauseMap precomputes all necessary manifolds and pairwise distances using a state-of-the-art, BLAS-based protocol (for benchmarks, see: https://github.com/JuliaStats/Distance.jl). </w:t>
      </w:r>
    </w:p>
    <w:p w14:paraId="03BBD010" w14:textId="77777777" w:rsidR="00103C65" w:rsidRPr="00B0248C" w:rsidRDefault="00CD40F9" w:rsidP="008C30B0">
      <w:pPr>
        <w:pStyle w:val="Heading2"/>
        <w:spacing w:line="480" w:lineRule="auto"/>
      </w:pPr>
      <w:r>
        <w:t>Tuning parameter values aid causal interpretation</w:t>
      </w:r>
    </w:p>
    <w:p w14:paraId="5729A10C" w14:textId="77777777" w:rsidR="00103C65" w:rsidRDefault="00103C65" w:rsidP="008C30B0">
      <w:pPr>
        <w:pStyle w:val="ParaNoInd"/>
        <w:spacing w:line="480" w:lineRule="auto"/>
        <w:rPr>
          <w:sz w:val="24"/>
          <w:szCs w:val="24"/>
        </w:rPr>
      </w:pPr>
      <w:r w:rsidRPr="00B0248C">
        <w:rPr>
          <w:sz w:val="24"/>
          <w:szCs w:val="24"/>
        </w:rPr>
        <w:t xml:space="preserve">Beyond </w:t>
      </w:r>
      <w:r>
        <w:rPr>
          <w:sz w:val="24"/>
          <w:szCs w:val="24"/>
        </w:rPr>
        <w:t>the speed and comparative simplicity resulting from cutting-edge JIT compilation</w:t>
      </w:r>
      <w:r w:rsidRPr="00B0248C">
        <w:rPr>
          <w:sz w:val="24"/>
          <w:szCs w:val="24"/>
        </w:rPr>
        <w:t xml:space="preserve">, CauseMap offers a number of conveniences and performance enhancements. For CCM, it is particularly important to optimize two tuning parameters: </w:t>
      </w:r>
      <w:r w:rsidRPr="00B0248C">
        <w:rPr>
          <w:i/>
          <w:sz w:val="24"/>
          <w:szCs w:val="24"/>
        </w:rPr>
        <w:t>E</w:t>
      </w:r>
      <w:r w:rsidRPr="00B0248C">
        <w:rPr>
          <w:sz w:val="24"/>
          <w:szCs w:val="24"/>
        </w:rPr>
        <w:t xml:space="preserve"> and τ</w:t>
      </w:r>
      <w:r w:rsidRPr="00B0248C">
        <w:rPr>
          <w:sz w:val="24"/>
          <w:szCs w:val="24"/>
          <w:vertAlign w:val="subscript"/>
        </w:rPr>
        <w:t>p</w:t>
      </w:r>
      <w:r w:rsidRPr="00B0248C">
        <w:rPr>
          <w:sz w:val="24"/>
          <w:szCs w:val="24"/>
        </w:rPr>
        <w:t xml:space="preserve">. </w:t>
      </w:r>
      <w:r w:rsidRPr="00B0248C">
        <w:rPr>
          <w:i/>
          <w:sz w:val="24"/>
          <w:szCs w:val="24"/>
        </w:rPr>
        <w:t xml:space="preserve">E </w:t>
      </w:r>
      <w:r w:rsidRPr="00B0248C">
        <w:rPr>
          <w:sz w:val="24"/>
          <w:szCs w:val="24"/>
        </w:rPr>
        <w:t>is related to the assumed dimensionality of the full causal system</w:t>
      </w:r>
      <w:r>
        <w:rPr>
          <w:sz w:val="24"/>
          <w:szCs w:val="24"/>
        </w:rPr>
        <w:t>. This quantity is used to determine the dimensions of the reconstructed manifolds.</w:t>
      </w:r>
      <w:r w:rsidRPr="00B0248C">
        <w:rPr>
          <w:sz w:val="24"/>
          <w:szCs w:val="24"/>
        </w:rPr>
        <w:t xml:space="preserve"> τ</w:t>
      </w:r>
      <w:r w:rsidRPr="00B0248C">
        <w:rPr>
          <w:sz w:val="24"/>
          <w:szCs w:val="24"/>
          <w:vertAlign w:val="subscript"/>
        </w:rPr>
        <w:t>p</w:t>
      </w:r>
      <w:r>
        <w:rPr>
          <w:sz w:val="24"/>
          <w:szCs w:val="24"/>
        </w:rPr>
        <w:t>, on the other hand,</w:t>
      </w:r>
      <w:r w:rsidRPr="00B0248C">
        <w:rPr>
          <w:sz w:val="24"/>
          <w:szCs w:val="24"/>
        </w:rPr>
        <w:t xml:space="preserve"> denotes the time delay of the causal effect of interest.</w:t>
      </w:r>
      <w:r>
        <w:rPr>
          <w:sz w:val="24"/>
          <w:szCs w:val="24"/>
        </w:rPr>
        <w:t xml:space="preserve"> By examining the optimal values of these two parameters, we may place bounds on the number of variables in</w:t>
      </w:r>
      <w:r w:rsidR="00CD40F9">
        <w:rPr>
          <w:sz w:val="24"/>
          <w:szCs w:val="24"/>
        </w:rPr>
        <w:t>volved in the full causal system,</w:t>
      </w:r>
      <w:r>
        <w:rPr>
          <w:sz w:val="24"/>
          <w:szCs w:val="24"/>
        </w:rPr>
        <w:t xml:space="preserve"> gain insight into </w:t>
      </w:r>
      <w:r w:rsidR="00CD40F9">
        <w:rPr>
          <w:sz w:val="24"/>
          <w:szCs w:val="24"/>
        </w:rPr>
        <w:t>the timeframe of causal effects, and obtain a built-in sensitivity analysis of the final results.</w:t>
      </w:r>
    </w:p>
    <w:p w14:paraId="73141BC7" w14:textId="77777777" w:rsidR="00103C65" w:rsidRPr="00B0248C" w:rsidRDefault="00103C65" w:rsidP="008C30B0">
      <w:pPr>
        <w:pStyle w:val="Heading2"/>
        <w:spacing w:line="480" w:lineRule="auto"/>
      </w:pPr>
      <w:r>
        <w:t>CauseMap optimizes and visualizes tuning parameters</w:t>
      </w:r>
    </w:p>
    <w:p w14:paraId="657A9A00" w14:textId="467779EA" w:rsidR="00103C65" w:rsidRDefault="00103C65" w:rsidP="008C30B0">
      <w:pPr>
        <w:pStyle w:val="ParaNoInd"/>
        <w:spacing w:line="480" w:lineRule="auto"/>
        <w:rPr>
          <w:sz w:val="24"/>
          <w:szCs w:val="24"/>
        </w:rPr>
      </w:pPr>
      <w:r w:rsidRPr="00B0248C">
        <w:rPr>
          <w:i/>
          <w:sz w:val="24"/>
          <w:szCs w:val="24"/>
        </w:rPr>
        <w:t xml:space="preserve">E </w:t>
      </w:r>
      <w:r w:rsidRPr="00B0248C">
        <w:rPr>
          <w:sz w:val="24"/>
          <w:szCs w:val="24"/>
        </w:rPr>
        <w:t>and τ</w:t>
      </w:r>
      <w:r w:rsidRPr="00B0248C">
        <w:rPr>
          <w:sz w:val="24"/>
          <w:szCs w:val="24"/>
          <w:vertAlign w:val="subscript"/>
        </w:rPr>
        <w:t xml:space="preserve">p </w:t>
      </w:r>
      <w:r w:rsidRPr="00B0248C">
        <w:rPr>
          <w:sz w:val="24"/>
          <w:szCs w:val="24"/>
        </w:rPr>
        <w:t xml:space="preserve">are then optimized by multiple iterations of cyclic coordinate descent </w:t>
      </w:r>
      <w:r w:rsidRPr="00B0248C">
        <w:rPr>
          <w:sz w:val="24"/>
          <w:szCs w:val="24"/>
        </w:rPr>
        <w:fldChar w:fldCharType="begin" w:fldLock="1"/>
      </w:r>
      <w:r>
        <w:rPr>
          <w:sz w:val="24"/>
          <w:szCs w:val="24"/>
        </w:rPr>
        <w:instrText>ADDIN CSL_CITATION { "citationItems" : [ { "id" : "ITEM-1", "itemData" : { "ISBN" : "1886529000", "author" : [ { "dropping-particle" : "", "family" : "Bertsekas", "given" : "Dimitri", "non-dropping-particle" : "", "parse-names" : false, "suffix" : "" } ], "id" : "ITEM-1", "issued" : { "date-parts" : [ [ "1999" ] ] }, "page" : "780", "publisher" : "Athena Scientific; 2nd edition", "title" : "Nonlinear Programming", "type" : "book" }, "uris" : [ "http://www.mendeley.com/documents/?uuid=71aa2c96-03ac-4cdb-bcef-720d5cee8bb4" ] } ], "mendeley" : { "previouslyFormattedCitation" : "(Bertsekas, 1999)" }, "properties" : { "noteIndex" : 0 }, "schema" : "https://github.com/citation-style-language/schema/raw/master/csl-citation.json" }</w:instrText>
      </w:r>
      <w:r w:rsidRPr="00B0248C">
        <w:rPr>
          <w:sz w:val="24"/>
          <w:szCs w:val="24"/>
        </w:rPr>
        <w:fldChar w:fldCharType="separate"/>
      </w:r>
      <w:r w:rsidRPr="00B23D1B">
        <w:rPr>
          <w:noProof/>
          <w:sz w:val="24"/>
          <w:szCs w:val="24"/>
        </w:rPr>
        <w:t>(Bertsekas, 1999)</w:t>
      </w:r>
      <w:r w:rsidRPr="00B0248C">
        <w:rPr>
          <w:sz w:val="24"/>
          <w:szCs w:val="24"/>
        </w:rPr>
        <w:fldChar w:fldCharType="end"/>
      </w:r>
      <w:r w:rsidRPr="00B0248C">
        <w:rPr>
          <w:sz w:val="24"/>
          <w:szCs w:val="24"/>
        </w:rPr>
        <w:t xml:space="preserve">. </w:t>
      </w:r>
      <w:r w:rsidR="00861597">
        <w:rPr>
          <w:sz w:val="24"/>
          <w:szCs w:val="24"/>
        </w:rPr>
        <w:t>Typically</w:t>
      </w:r>
      <w:r w:rsidRPr="00B0248C">
        <w:rPr>
          <w:sz w:val="24"/>
          <w:szCs w:val="24"/>
        </w:rPr>
        <w:t xml:space="preserve"> convergence of the cross map signal as a function of the time series length (</w:t>
      </w:r>
      <w:r w:rsidRPr="00B0248C">
        <w:rPr>
          <w:i/>
          <w:sz w:val="24"/>
          <w:szCs w:val="24"/>
        </w:rPr>
        <w:t>L</w:t>
      </w:r>
      <w:r w:rsidRPr="00B0248C">
        <w:rPr>
          <w:sz w:val="24"/>
          <w:szCs w:val="24"/>
        </w:rPr>
        <w:t>)</w:t>
      </w:r>
      <w:r w:rsidR="00861597">
        <w:rPr>
          <w:sz w:val="24"/>
          <w:szCs w:val="24"/>
        </w:rPr>
        <w:t xml:space="preserve"> alone is taken as the</w:t>
      </w:r>
      <w:r w:rsidRPr="00B0248C">
        <w:rPr>
          <w:sz w:val="24"/>
          <w:szCs w:val="24"/>
        </w:rPr>
        <w:t xml:space="preserve"> pr</w:t>
      </w:r>
      <w:r w:rsidR="00861597">
        <w:rPr>
          <w:sz w:val="24"/>
          <w:szCs w:val="24"/>
        </w:rPr>
        <w:t>actical criterion for causality. However, measuring</w:t>
      </w:r>
      <w:r w:rsidRPr="00B0248C">
        <w:rPr>
          <w:sz w:val="24"/>
          <w:szCs w:val="24"/>
        </w:rPr>
        <w:t xml:space="preserve"> the dependence of this signal on </w:t>
      </w:r>
      <w:r w:rsidRPr="00B0248C">
        <w:rPr>
          <w:i/>
          <w:sz w:val="24"/>
          <w:szCs w:val="24"/>
        </w:rPr>
        <w:t xml:space="preserve">E </w:t>
      </w:r>
      <w:r w:rsidRPr="00B0248C">
        <w:rPr>
          <w:sz w:val="24"/>
          <w:szCs w:val="24"/>
        </w:rPr>
        <w:t>and τ</w:t>
      </w:r>
      <w:r w:rsidRPr="00B0248C">
        <w:rPr>
          <w:sz w:val="24"/>
          <w:szCs w:val="24"/>
          <w:vertAlign w:val="subscript"/>
        </w:rPr>
        <w:t xml:space="preserve">p </w:t>
      </w:r>
      <w:r w:rsidRPr="00B0248C">
        <w:rPr>
          <w:sz w:val="24"/>
          <w:szCs w:val="24"/>
        </w:rPr>
        <w:t xml:space="preserve">is also </w:t>
      </w:r>
      <w:r>
        <w:rPr>
          <w:sz w:val="24"/>
          <w:szCs w:val="24"/>
        </w:rPr>
        <w:t>useful</w:t>
      </w:r>
      <w:r w:rsidRPr="00B0248C">
        <w:rPr>
          <w:sz w:val="24"/>
          <w:szCs w:val="24"/>
        </w:rPr>
        <w:t xml:space="preserve"> for </w:t>
      </w:r>
      <w:r w:rsidR="00861597">
        <w:rPr>
          <w:sz w:val="24"/>
          <w:szCs w:val="24"/>
        </w:rPr>
        <w:t>evaluating whether the result is suitably specific with respect to the assumed structure of the causal system</w:t>
      </w:r>
      <w:r w:rsidRPr="00B0248C">
        <w:rPr>
          <w:sz w:val="24"/>
          <w:szCs w:val="24"/>
        </w:rPr>
        <w:t xml:space="preserve">. </w:t>
      </w:r>
      <w:r>
        <w:rPr>
          <w:sz w:val="24"/>
          <w:szCs w:val="24"/>
        </w:rPr>
        <w:t>CauseMap therefore also includes a plotting function to visualize the dependence of the predictive skill (</w:t>
      </w:r>
      <w:r>
        <w:rPr>
          <w:sz w:val="24"/>
          <w:szCs w:val="24"/>
        </w:rPr>
        <w:sym w:font="Symbol" w:char="F072"/>
      </w:r>
      <w:r>
        <w:rPr>
          <w:sz w:val="24"/>
          <w:szCs w:val="24"/>
          <w:vertAlign w:val="subscript"/>
        </w:rPr>
        <w:t>ccm</w:t>
      </w:r>
      <w:r>
        <w:rPr>
          <w:sz w:val="24"/>
          <w:szCs w:val="24"/>
        </w:rPr>
        <w:t xml:space="preserve">) on L, as well as on the joint values of E and </w:t>
      </w:r>
      <w:r w:rsidRPr="00B0248C">
        <w:rPr>
          <w:sz w:val="24"/>
          <w:szCs w:val="24"/>
        </w:rPr>
        <w:t>τ</w:t>
      </w:r>
      <w:r w:rsidRPr="00B0248C">
        <w:rPr>
          <w:sz w:val="24"/>
          <w:szCs w:val="24"/>
          <w:vertAlign w:val="subscript"/>
        </w:rPr>
        <w:t>p</w:t>
      </w:r>
      <w:r>
        <w:rPr>
          <w:sz w:val="24"/>
          <w:szCs w:val="24"/>
        </w:rPr>
        <w:t xml:space="preserve">. </w:t>
      </w:r>
    </w:p>
    <w:p w14:paraId="2B72E3D1" w14:textId="77777777" w:rsidR="00CD40F9" w:rsidRDefault="00CD40F9" w:rsidP="008C30B0">
      <w:pPr>
        <w:pStyle w:val="Heading2"/>
        <w:spacing w:line="480" w:lineRule="auto"/>
      </w:pPr>
      <w:r>
        <w:t>CauseMap is easy to use</w:t>
      </w:r>
    </w:p>
    <w:p w14:paraId="14446FC3" w14:textId="5FF5D11B" w:rsidR="00103C65" w:rsidRDefault="00CD40F9" w:rsidP="008C30B0">
      <w:pPr>
        <w:spacing w:line="480" w:lineRule="auto"/>
      </w:pPr>
      <w:r>
        <w:t>Beyond the tuning parameters mentioned above, CCM requires one to specify a range of library sizes</w:t>
      </w:r>
      <w:r w:rsidR="009D7BD2">
        <w:t xml:space="preserve">, as well as the </w:t>
      </w:r>
      <w:r w:rsidR="00871F10">
        <w:t>window</w:t>
      </w:r>
      <w:r w:rsidR="009D7BD2">
        <w:t xml:space="preserve"> of time points for which cross mapping should be performed</w:t>
      </w:r>
      <w:r>
        <w:t>. Valid values</w:t>
      </w:r>
      <w:r w:rsidR="009D7BD2">
        <w:t xml:space="preserve"> for these parameters</w:t>
      </w:r>
      <w:r>
        <w:t xml:space="preserve"> depend</w:t>
      </w:r>
      <w:r w:rsidR="009D7BD2">
        <w:t xml:space="preserve"> in turn</w:t>
      </w:r>
      <w:r>
        <w:t xml:space="preserve"> on </w:t>
      </w:r>
      <w:r w:rsidRPr="00B0248C">
        <w:rPr>
          <w:i/>
        </w:rPr>
        <w:t xml:space="preserve">E </w:t>
      </w:r>
      <w:r w:rsidRPr="00B0248C">
        <w:t>and τ</w:t>
      </w:r>
      <w:r w:rsidRPr="00B0248C">
        <w:rPr>
          <w:vertAlign w:val="subscript"/>
        </w:rPr>
        <w:t>p</w:t>
      </w:r>
      <w:r>
        <w:t xml:space="preserve">. To reduce complexity for the user, CauseMap calculates intelligent defaults for </w:t>
      </w:r>
      <w:r w:rsidR="009D7BD2">
        <w:t>these parameters, while also offering the opti</w:t>
      </w:r>
      <w:r w:rsidR="00861597">
        <w:t>on of specifying them directly.</w:t>
      </w:r>
    </w:p>
    <w:p w14:paraId="2080502D" w14:textId="77777777" w:rsidR="00103C65" w:rsidRDefault="00103C65" w:rsidP="008C30B0">
      <w:pPr>
        <w:pStyle w:val="Heading1"/>
        <w:spacing w:before="360" w:line="480" w:lineRule="auto"/>
        <w:ind w:left="357" w:hanging="357"/>
      </w:pPr>
      <w:r w:rsidRPr="00B0248C">
        <w:t>R</w:t>
      </w:r>
      <w:r>
        <w:t>esults and Discussion</w:t>
      </w:r>
    </w:p>
    <w:p w14:paraId="75909AFF" w14:textId="77777777" w:rsidR="00103C65" w:rsidRPr="0016423F" w:rsidRDefault="00103C65" w:rsidP="008C30B0">
      <w:pPr>
        <w:pStyle w:val="ParaNoInd"/>
        <w:spacing w:line="480" w:lineRule="auto"/>
        <w:rPr>
          <w:sz w:val="24"/>
          <w:szCs w:val="24"/>
        </w:rPr>
      </w:pPr>
      <w:r>
        <w:rPr>
          <w:sz w:val="24"/>
          <w:szCs w:val="24"/>
        </w:rPr>
        <w:t xml:space="preserve">To demonstrate CauseMap’s functionality and performance, we examined the predator-prey relationship between </w:t>
      </w:r>
      <w:r w:rsidRPr="005B6A4D">
        <w:rPr>
          <w:i/>
          <w:sz w:val="24"/>
          <w:szCs w:val="24"/>
        </w:rPr>
        <w:t>Paramecium aurelia</w:t>
      </w:r>
      <w:r w:rsidRPr="005B6A4D">
        <w:rPr>
          <w:sz w:val="24"/>
          <w:szCs w:val="24"/>
        </w:rPr>
        <w:t xml:space="preserve"> and </w:t>
      </w:r>
      <w:r w:rsidRPr="005B6A4D">
        <w:rPr>
          <w:i/>
          <w:sz w:val="24"/>
          <w:szCs w:val="24"/>
        </w:rPr>
        <w:t>Didinium nasutum</w:t>
      </w:r>
      <w:r>
        <w:rPr>
          <w:i/>
          <w:sz w:val="24"/>
          <w:szCs w:val="24"/>
        </w:rPr>
        <w:t xml:space="preserve"> </w:t>
      </w:r>
      <w:r>
        <w:rPr>
          <w:i/>
          <w:sz w:val="24"/>
          <w:szCs w:val="24"/>
        </w:rPr>
        <w:fldChar w:fldCharType="begin" w:fldLock="1"/>
      </w:r>
      <w:r>
        <w:rPr>
          <w:i/>
          <w:sz w:val="24"/>
          <w:szCs w:val="24"/>
        </w:rPr>
        <w:instrText>ADDIN CSL_CITATION { "citationItems" : [ { "id" : "ITEM-1", "itemData" : { "DOI" : "10.1126/science.1227079", "ISSN" : "1095-9203", "PMID" : "22997134", "abstract" : "Identifying causal networks is important for effective policy and management recommendations on climate, epidemiology, financial regulation, and much else. We introduce a method, based on nonlinear state space reconstruction, that can distinguish causality from correlation. It extends to nonseparable weakly connected dynamic systems (cases not covered by the current Granger causality paradigm). The approach is illustrated both by simple models (where, in contrast to the real world, we know the underlying equations/relations and so can check the validity of our method) and by application to real ecological systems, including the controversial sardine-anchovy-temperature problem.", "author" : [ { "dropping-particle" : "", "family" : "Sugihara", "given" : "George", "non-dropping-particle" : "", "parse-names" : false, "suffix" : "" }, { "dropping-particle" : "", "family" : "May", "given" : "Robert", "non-dropping-particle" : "", "parse-names" : false, "suffix" : "" }, { "dropping-particle" : "", "family" : "Ye", "given" : "Hao", "non-dropping-particle" : "", "parse-names" : false, "suffix" : "" }, { "dropping-particle" : "", "family" : "Hsieh", "given" : "Chih-hao", "non-dropping-particle" : "", "parse-names" : false, "suffix" : "" }, { "dropping-particle" : "", "family" : "Deyle", "given" : "Ethan", "non-dropping-particle" : "", "parse-names" : false, "suffix" : "" }, { "dropping-particle" : "", "family" : "Fogarty", "given" : "Michael", "non-dropping-particle" : "", "parse-names" : false, "suffix" : "" }, { "dropping-particle" : "", "family" : "Munch", "given" : "Stephan", "non-dropping-particle" : "", "parse-names" : false, "suffix" : "" } ], "container-title" : "Science (New York, N.Y.)", "id" : "ITEM-1", "issue" : "6106", "issued" : { "date-parts" : [ [ "2012", "10", "26" ] ] }, "page" : "496-500", "title" : "Detecting causality in complex ecosystems.", "type" : "article-journal", "volume" : "338" }, "uris" : [ "http://www.mendeley.com/documents/?uuid=da4162f8-25aa-4bf3-901f-93aec23bb85e" ] } ], "mendeley" : { "previouslyFormattedCitation" : "(Sugihara et al., 2012)" }, "properties" : { "noteIndex" : 0 }, "schema" : "https://github.com/citation-style-language/schema/raw/master/csl-citation.json" }</w:instrText>
      </w:r>
      <w:r>
        <w:rPr>
          <w:i/>
          <w:sz w:val="24"/>
          <w:szCs w:val="24"/>
        </w:rPr>
        <w:fldChar w:fldCharType="separate"/>
      </w:r>
      <w:r w:rsidRPr="00B23D1B">
        <w:rPr>
          <w:noProof/>
          <w:sz w:val="24"/>
          <w:szCs w:val="24"/>
        </w:rPr>
        <w:t xml:space="preserve">(Sugihara </w:t>
      </w:r>
      <w:r w:rsidRPr="00B23D1B">
        <w:rPr>
          <w:i/>
          <w:noProof/>
          <w:sz w:val="24"/>
          <w:szCs w:val="24"/>
        </w:rPr>
        <w:t>et al.</w:t>
      </w:r>
      <w:r w:rsidRPr="00B23D1B">
        <w:rPr>
          <w:noProof/>
          <w:sz w:val="24"/>
          <w:szCs w:val="24"/>
        </w:rPr>
        <w:t>, 2012)</w:t>
      </w:r>
      <w:r>
        <w:rPr>
          <w:i/>
          <w:sz w:val="24"/>
          <w:szCs w:val="24"/>
        </w:rPr>
        <w:fldChar w:fldCharType="end"/>
      </w:r>
      <w:r>
        <w:rPr>
          <w:sz w:val="24"/>
          <w:szCs w:val="24"/>
        </w:rPr>
        <w:t xml:space="preserve">. Observations were collected every 12 hours for 30 days, yielding a total of 60 data points. Plotted in Figure 1 is the </w:t>
      </w:r>
      <w:r w:rsidRPr="00B0248C">
        <w:rPr>
          <w:sz w:val="24"/>
          <w:szCs w:val="24"/>
        </w:rPr>
        <w:t xml:space="preserve">CauseMap </w:t>
      </w:r>
      <w:r>
        <w:rPr>
          <w:sz w:val="24"/>
          <w:szCs w:val="24"/>
        </w:rPr>
        <w:t>visualization</w:t>
      </w:r>
      <w:r w:rsidRPr="00B0248C">
        <w:rPr>
          <w:sz w:val="24"/>
          <w:szCs w:val="24"/>
        </w:rPr>
        <w:t xml:space="preserve"> </w:t>
      </w:r>
      <w:r>
        <w:rPr>
          <w:sz w:val="24"/>
          <w:szCs w:val="24"/>
        </w:rPr>
        <w:t>of the dependence of predictive skill (</w:t>
      </w:r>
      <w:r>
        <w:rPr>
          <w:sz w:val="24"/>
          <w:szCs w:val="24"/>
        </w:rPr>
        <w:sym w:font="Symbol" w:char="F072"/>
      </w:r>
      <w:r>
        <w:rPr>
          <w:sz w:val="24"/>
          <w:szCs w:val="24"/>
          <w:vertAlign w:val="subscript"/>
        </w:rPr>
        <w:t>ccm</w:t>
      </w:r>
      <w:r>
        <w:rPr>
          <w:sz w:val="24"/>
          <w:szCs w:val="24"/>
        </w:rPr>
        <w:t>)</w:t>
      </w:r>
      <w:r w:rsidRPr="00B0248C">
        <w:rPr>
          <w:sz w:val="24"/>
          <w:szCs w:val="24"/>
        </w:rPr>
        <w:t xml:space="preserve"> on </w:t>
      </w:r>
      <w:r w:rsidRPr="00B0248C">
        <w:rPr>
          <w:i/>
          <w:sz w:val="24"/>
          <w:szCs w:val="24"/>
        </w:rPr>
        <w:t>L, E,</w:t>
      </w:r>
      <w:r w:rsidRPr="00B0248C">
        <w:rPr>
          <w:sz w:val="24"/>
          <w:szCs w:val="24"/>
        </w:rPr>
        <w:t xml:space="preserve"> </w:t>
      </w:r>
      <w:r>
        <w:rPr>
          <w:sz w:val="24"/>
          <w:szCs w:val="24"/>
        </w:rPr>
        <w:t xml:space="preserve">and </w:t>
      </w:r>
      <w:r w:rsidRPr="00B0248C">
        <w:rPr>
          <w:sz w:val="24"/>
          <w:szCs w:val="24"/>
        </w:rPr>
        <w:t>τ</w:t>
      </w:r>
      <w:r w:rsidRPr="00B0248C">
        <w:rPr>
          <w:sz w:val="24"/>
          <w:szCs w:val="24"/>
          <w:vertAlign w:val="subscript"/>
        </w:rPr>
        <w:t>p</w:t>
      </w:r>
      <w:r>
        <w:rPr>
          <w:sz w:val="24"/>
          <w:szCs w:val="24"/>
        </w:rPr>
        <w:t xml:space="preserve">. In Figure 1A, we observe convergence in </w:t>
      </w:r>
      <w:r w:rsidRPr="00B0248C">
        <w:rPr>
          <w:sz w:val="24"/>
          <w:szCs w:val="24"/>
        </w:rPr>
        <w:t>ρ</w:t>
      </w:r>
      <w:r w:rsidRPr="00B0248C">
        <w:rPr>
          <w:sz w:val="24"/>
          <w:szCs w:val="24"/>
          <w:vertAlign w:val="subscript"/>
        </w:rPr>
        <w:t>ccm</w:t>
      </w:r>
      <w:r w:rsidRPr="00B0248C">
        <w:rPr>
          <w:sz w:val="24"/>
          <w:szCs w:val="24"/>
        </w:rPr>
        <w:t xml:space="preserve"> </w:t>
      </w:r>
      <w:r>
        <w:rPr>
          <w:sz w:val="24"/>
          <w:szCs w:val="24"/>
        </w:rPr>
        <w:t xml:space="preserve">with respect to </w:t>
      </w:r>
      <w:r>
        <w:rPr>
          <w:i/>
          <w:sz w:val="24"/>
          <w:szCs w:val="24"/>
        </w:rPr>
        <w:t>L</w:t>
      </w:r>
      <w:r>
        <w:rPr>
          <w:sz w:val="24"/>
          <w:szCs w:val="24"/>
        </w:rPr>
        <w:t xml:space="preserve">, the number of data points used for prediction of held-out observations. This convergence is a practical criterion for causality and the source of the name </w:t>
      </w:r>
      <w:r w:rsidRPr="0016423F">
        <w:rPr>
          <w:i/>
          <w:sz w:val="24"/>
          <w:szCs w:val="24"/>
        </w:rPr>
        <w:t>convergent</w:t>
      </w:r>
      <w:r>
        <w:rPr>
          <w:sz w:val="24"/>
          <w:szCs w:val="24"/>
        </w:rPr>
        <w:t xml:space="preserve"> cross mapping. </w:t>
      </w:r>
      <w:r w:rsidRPr="00B0248C">
        <w:rPr>
          <w:sz w:val="24"/>
          <w:szCs w:val="24"/>
        </w:rPr>
        <w:t xml:space="preserve"> </w:t>
      </w:r>
      <w:r>
        <w:rPr>
          <w:sz w:val="24"/>
          <w:szCs w:val="24"/>
        </w:rPr>
        <w:t>Figures 1B and 1C show the dependence of the max</w:t>
      </w:r>
      <w:r w:rsidRPr="0016423F">
        <w:rPr>
          <w:sz w:val="24"/>
          <w:szCs w:val="24"/>
        </w:rPr>
        <w:t xml:space="preserve"> </w:t>
      </w:r>
      <w:r w:rsidRPr="00B0248C">
        <w:rPr>
          <w:sz w:val="24"/>
          <w:szCs w:val="24"/>
        </w:rPr>
        <w:t>ρ</w:t>
      </w:r>
      <w:r w:rsidRPr="00B0248C">
        <w:rPr>
          <w:sz w:val="24"/>
          <w:szCs w:val="24"/>
          <w:vertAlign w:val="subscript"/>
        </w:rPr>
        <w:t>ccm</w:t>
      </w:r>
      <w:r>
        <w:rPr>
          <w:sz w:val="24"/>
          <w:szCs w:val="24"/>
          <w:vertAlign w:val="subscript"/>
        </w:rPr>
        <w:t xml:space="preserve"> </w:t>
      </w:r>
      <w:r>
        <w:rPr>
          <w:sz w:val="24"/>
          <w:szCs w:val="24"/>
        </w:rPr>
        <w:t>on E (proportional to the assumed dimensionality of the system</w:t>
      </w:r>
      <w:r>
        <w:rPr>
          <w:color w:val="000000" w:themeColor="text1"/>
          <w:sz w:val="24"/>
          <w:szCs w:val="24"/>
        </w:rPr>
        <w:t>), and the supposed time lag of the causal effect (</w:t>
      </w:r>
      <w:r w:rsidRPr="00B0248C">
        <w:rPr>
          <w:sz w:val="24"/>
          <w:szCs w:val="24"/>
        </w:rPr>
        <w:t>τ</w:t>
      </w:r>
      <w:r w:rsidRPr="00B0248C">
        <w:rPr>
          <w:sz w:val="24"/>
          <w:szCs w:val="24"/>
          <w:vertAlign w:val="subscript"/>
        </w:rPr>
        <w:t>p</w:t>
      </w:r>
      <w:r>
        <w:rPr>
          <w:sz w:val="24"/>
          <w:szCs w:val="24"/>
        </w:rPr>
        <w:t>). While the max</w:t>
      </w:r>
      <w:r w:rsidRPr="0016423F">
        <w:rPr>
          <w:sz w:val="24"/>
          <w:szCs w:val="24"/>
        </w:rPr>
        <w:t xml:space="preserve"> </w:t>
      </w:r>
      <w:r w:rsidRPr="00B0248C">
        <w:rPr>
          <w:sz w:val="24"/>
          <w:szCs w:val="24"/>
        </w:rPr>
        <w:t>ρ</w:t>
      </w:r>
      <w:r w:rsidRPr="00B0248C">
        <w:rPr>
          <w:sz w:val="24"/>
          <w:szCs w:val="24"/>
          <w:vertAlign w:val="subscript"/>
        </w:rPr>
        <w:t>ccm</w:t>
      </w:r>
      <w:r>
        <w:rPr>
          <w:sz w:val="24"/>
          <w:szCs w:val="24"/>
          <w:vertAlign w:val="subscript"/>
        </w:rPr>
        <w:t xml:space="preserve"> </w:t>
      </w:r>
      <w:r>
        <w:rPr>
          <w:sz w:val="24"/>
          <w:szCs w:val="24"/>
        </w:rPr>
        <w:t xml:space="preserve">is relatively insensitive to the assumed dimensionality, the best-performing </w:t>
      </w:r>
      <w:r w:rsidRPr="00B0248C">
        <w:rPr>
          <w:sz w:val="24"/>
          <w:szCs w:val="24"/>
        </w:rPr>
        <w:t>τ</w:t>
      </w:r>
      <w:r w:rsidRPr="00B0248C">
        <w:rPr>
          <w:sz w:val="24"/>
          <w:szCs w:val="24"/>
          <w:vertAlign w:val="subscript"/>
        </w:rPr>
        <w:t>p</w:t>
      </w:r>
      <w:r>
        <w:rPr>
          <w:sz w:val="24"/>
          <w:szCs w:val="24"/>
          <w:vertAlign w:val="subscript"/>
        </w:rPr>
        <w:t xml:space="preserve"> </w:t>
      </w:r>
      <w:r>
        <w:rPr>
          <w:sz w:val="24"/>
          <w:szCs w:val="24"/>
        </w:rPr>
        <w:t xml:space="preserve">values correspond to either immediate causal effects, or those delayed by five days. Note that </w:t>
      </w:r>
      <w:r w:rsidRPr="0016423F">
        <w:rPr>
          <w:sz w:val="24"/>
          <w:szCs w:val="24"/>
        </w:rPr>
        <w:t>τ</w:t>
      </w:r>
      <w:r w:rsidRPr="0016423F">
        <w:rPr>
          <w:sz w:val="24"/>
          <w:szCs w:val="24"/>
          <w:vertAlign w:val="subscript"/>
        </w:rPr>
        <w:t>p</w:t>
      </w:r>
      <w:r w:rsidRPr="0016423F">
        <w:rPr>
          <w:sz w:val="24"/>
          <w:szCs w:val="24"/>
        </w:rPr>
        <w:t xml:space="preserve">=5 corresponds to the principal frequency of the </w:t>
      </w:r>
      <w:r>
        <w:rPr>
          <w:i/>
          <w:sz w:val="24"/>
          <w:szCs w:val="24"/>
        </w:rPr>
        <w:t>Paramecium</w:t>
      </w:r>
      <w:r w:rsidRPr="0016423F">
        <w:rPr>
          <w:i/>
          <w:sz w:val="24"/>
          <w:szCs w:val="24"/>
        </w:rPr>
        <w:t xml:space="preserve"> aurelia</w:t>
      </w:r>
      <w:r w:rsidRPr="0016423F">
        <w:rPr>
          <w:sz w:val="24"/>
          <w:szCs w:val="24"/>
        </w:rPr>
        <w:t xml:space="preserve"> and </w:t>
      </w:r>
      <w:r>
        <w:rPr>
          <w:i/>
          <w:sz w:val="24"/>
          <w:szCs w:val="24"/>
        </w:rPr>
        <w:t>Didinium</w:t>
      </w:r>
      <w:r w:rsidRPr="0016423F">
        <w:rPr>
          <w:i/>
          <w:sz w:val="24"/>
          <w:szCs w:val="24"/>
        </w:rPr>
        <w:t xml:space="preserve"> nasutum </w:t>
      </w:r>
      <w:r w:rsidRPr="0016423F">
        <w:rPr>
          <w:sz w:val="24"/>
          <w:szCs w:val="24"/>
        </w:rPr>
        <w:t>time series, as determined by fourier transform analysis</w:t>
      </w:r>
      <w:r>
        <w:rPr>
          <w:sz w:val="24"/>
          <w:szCs w:val="24"/>
        </w:rPr>
        <w:t xml:space="preserve"> (see supplemental materials for further details)</w:t>
      </w:r>
      <w:r w:rsidRPr="0016423F">
        <w:rPr>
          <w:sz w:val="24"/>
          <w:szCs w:val="24"/>
        </w:rPr>
        <w:t>.</w:t>
      </w:r>
    </w:p>
    <w:p w14:paraId="479721DF" w14:textId="77777777" w:rsidR="00103C65" w:rsidRPr="00777F19" w:rsidRDefault="00103C65" w:rsidP="008C30B0">
      <w:pPr>
        <w:pStyle w:val="ParaNoInd"/>
        <w:spacing w:line="240" w:lineRule="auto"/>
        <w:rPr>
          <w:sz w:val="24"/>
        </w:rPr>
      </w:pPr>
      <w:r>
        <w:rPr>
          <w:noProof/>
          <w:sz w:val="24"/>
          <w:lang w:eastAsia="en-US"/>
        </w:rPr>
        <w:drawing>
          <wp:inline distT="0" distB="0" distL="0" distR="0" wp14:anchorId="59778FFF" wp14:editId="5ADC1A8D">
            <wp:extent cx="5486400" cy="2773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rotWithShape="1">
                    <a:blip r:embed="rId9">
                      <a:extLst>
                        <a:ext uri="{28A0092B-C50C-407E-A947-70E740481C1C}">
                          <a14:useLocalDpi xmlns:a14="http://schemas.microsoft.com/office/drawing/2010/main" val="0"/>
                        </a:ext>
                      </a:extLst>
                    </a:blip>
                    <a:srcRect t="17037" b="15556"/>
                    <a:stretch/>
                  </pic:blipFill>
                  <pic:spPr bwMode="auto">
                    <a:xfrm>
                      <a:off x="0" y="0"/>
                      <a:ext cx="5486400" cy="2773680"/>
                    </a:xfrm>
                    <a:prstGeom prst="rect">
                      <a:avLst/>
                    </a:prstGeom>
                    <a:ln>
                      <a:noFill/>
                    </a:ln>
                    <a:extLst>
                      <a:ext uri="{53640926-AAD7-44d8-BBD7-CCE9431645EC}">
                        <a14:shadowObscured xmlns:a14="http://schemas.microsoft.com/office/drawing/2010/main"/>
                      </a:ext>
                    </a:extLst>
                  </pic:spPr>
                </pic:pic>
              </a:graphicData>
            </a:graphic>
          </wp:inline>
        </w:drawing>
      </w:r>
      <w:r w:rsidRPr="0059278F">
        <w:rPr>
          <w:rFonts w:ascii="PT Serif" w:hAnsi="PT Serif"/>
          <w:b/>
          <w:bCs/>
          <w:sz w:val="20"/>
        </w:rPr>
        <w:t>Fig. 1.</w:t>
      </w:r>
      <w:r w:rsidRPr="0059278F">
        <w:rPr>
          <w:rFonts w:ascii="PT Serif" w:hAnsi="PT Serif"/>
          <w:b/>
          <w:bCs/>
          <w:sz w:val="20"/>
        </w:rPr>
        <w:t> </w:t>
      </w:r>
      <w:r w:rsidRPr="0059278F">
        <w:rPr>
          <w:rFonts w:ascii="PT Serif" w:hAnsi="PT Serif"/>
          <w:bCs/>
          <w:sz w:val="20"/>
        </w:rPr>
        <w:t xml:space="preserve"> </w:t>
      </w:r>
      <w:r w:rsidRPr="0059278F">
        <w:rPr>
          <w:rFonts w:ascii="PT Serif" w:hAnsi="PT Serif"/>
          <w:b/>
          <w:sz w:val="20"/>
        </w:rPr>
        <w:t xml:space="preserve">An example visualization from CauseMap using abundances of </w:t>
      </w:r>
      <w:r w:rsidRPr="0059278F">
        <w:rPr>
          <w:rFonts w:ascii="PT Serif" w:hAnsi="PT Serif"/>
          <w:b/>
          <w:i/>
          <w:sz w:val="20"/>
        </w:rPr>
        <w:t>Paramecium aurelia</w:t>
      </w:r>
      <w:r w:rsidRPr="0059278F">
        <w:rPr>
          <w:rFonts w:ascii="PT Serif" w:hAnsi="PT Serif"/>
          <w:b/>
          <w:sz w:val="20"/>
        </w:rPr>
        <w:t xml:space="preserve"> and </w:t>
      </w:r>
      <w:r w:rsidRPr="0059278F">
        <w:rPr>
          <w:rFonts w:ascii="PT Serif" w:hAnsi="PT Serif"/>
          <w:b/>
          <w:i/>
          <w:sz w:val="20"/>
        </w:rPr>
        <w:t>Didinium nasutum</w:t>
      </w:r>
      <w:r w:rsidRPr="0059278F">
        <w:rPr>
          <w:rFonts w:ascii="PT Serif" w:hAnsi="PT Serif"/>
          <w:sz w:val="20"/>
        </w:rPr>
        <w:t xml:space="preserve"> (see </w:t>
      </w:r>
      <w:r>
        <w:rPr>
          <w:rFonts w:ascii="PT Serif" w:hAnsi="PT Serif"/>
          <w:sz w:val="20"/>
        </w:rPr>
        <w:t>supplemental materials</w:t>
      </w:r>
      <w:r w:rsidRPr="0059278F">
        <w:rPr>
          <w:rFonts w:ascii="PT Serif" w:hAnsi="PT Serif"/>
          <w:sz w:val="20"/>
        </w:rPr>
        <w:t xml:space="preserve"> for more information on this system). A.) For optimal parameter values, the convergence of the cross-map correlation with library size. B</w:t>
      </w:r>
      <w:r>
        <w:rPr>
          <w:rFonts w:ascii="PT Serif" w:hAnsi="PT Serif"/>
          <w:sz w:val="20"/>
        </w:rPr>
        <w:t>-C</w:t>
      </w:r>
      <w:r w:rsidRPr="0059278F">
        <w:rPr>
          <w:rFonts w:ascii="PT Serif" w:hAnsi="PT Serif"/>
          <w:sz w:val="20"/>
        </w:rPr>
        <w:t xml:space="preserve">.) The dependence of the maximum cross-map correlation on assumed dimensionality (measured by E) and the time lag of the causal effect (measured by </w:t>
      </w:r>
      <w:r w:rsidRPr="0059278F">
        <w:rPr>
          <w:sz w:val="20"/>
        </w:rPr>
        <w:t>τ</w:t>
      </w:r>
      <w:r w:rsidRPr="0059278F">
        <w:rPr>
          <w:rFonts w:ascii="PT Serif" w:hAnsi="PT Serif"/>
          <w:sz w:val="20"/>
          <w:vertAlign w:val="subscript"/>
        </w:rPr>
        <w:t>p</w:t>
      </w:r>
      <w:r w:rsidRPr="0059278F">
        <w:rPr>
          <w:rFonts w:ascii="PT Serif" w:hAnsi="PT Serif"/>
          <w:sz w:val="20"/>
        </w:rPr>
        <w:t xml:space="preserve">). Note that the second maximum at </w:t>
      </w:r>
      <w:r w:rsidRPr="0059278F">
        <w:rPr>
          <w:sz w:val="20"/>
        </w:rPr>
        <w:t>τ</w:t>
      </w:r>
      <w:r w:rsidRPr="0059278F">
        <w:rPr>
          <w:rFonts w:ascii="PT Serif" w:hAnsi="PT Serif"/>
          <w:sz w:val="20"/>
          <w:vertAlign w:val="subscript"/>
        </w:rPr>
        <w:t>p</w:t>
      </w:r>
      <w:r w:rsidRPr="0059278F">
        <w:rPr>
          <w:rFonts w:ascii="PT Serif" w:hAnsi="PT Serif"/>
          <w:sz w:val="20"/>
        </w:rPr>
        <w:t xml:space="preserve">=5 corresponds to the principal frequency of the </w:t>
      </w:r>
      <w:r w:rsidRPr="0059278F">
        <w:rPr>
          <w:rFonts w:ascii="PT Serif" w:hAnsi="PT Serif"/>
          <w:i/>
          <w:sz w:val="20"/>
        </w:rPr>
        <w:t>P. aurelia</w:t>
      </w:r>
      <w:r w:rsidRPr="0059278F">
        <w:rPr>
          <w:rFonts w:ascii="PT Serif" w:hAnsi="PT Serif"/>
          <w:sz w:val="20"/>
        </w:rPr>
        <w:t xml:space="preserve"> and </w:t>
      </w:r>
      <w:r w:rsidRPr="0059278F">
        <w:rPr>
          <w:rFonts w:ascii="PT Serif" w:hAnsi="PT Serif"/>
          <w:i/>
          <w:sz w:val="20"/>
        </w:rPr>
        <w:t xml:space="preserve">D. nasutum </w:t>
      </w:r>
      <w:r w:rsidRPr="0059278F">
        <w:rPr>
          <w:rFonts w:ascii="PT Serif" w:hAnsi="PT Serif"/>
          <w:sz w:val="20"/>
        </w:rPr>
        <w:t>time series, as determined by fourier transform analysis.</w:t>
      </w:r>
    </w:p>
    <w:p w14:paraId="0BFB3DF5" w14:textId="77777777" w:rsidR="00103C65" w:rsidRPr="0016423F" w:rsidRDefault="00103C65" w:rsidP="008C30B0">
      <w:pPr>
        <w:pStyle w:val="ParaNoInd"/>
        <w:spacing w:line="480" w:lineRule="auto"/>
        <w:rPr>
          <w:sz w:val="24"/>
        </w:rPr>
      </w:pPr>
    </w:p>
    <w:p w14:paraId="4084A098" w14:textId="12C378CD" w:rsidR="00103C65" w:rsidRPr="00D90B6E" w:rsidRDefault="00103C65" w:rsidP="008C30B0">
      <w:pPr>
        <w:pStyle w:val="Heading2"/>
        <w:spacing w:line="480" w:lineRule="auto"/>
      </w:pPr>
      <w:r w:rsidRPr="00AC0E06">
        <w:t>Performance</w:t>
      </w:r>
    </w:p>
    <w:p w14:paraId="00E0F423" w14:textId="11C9BD8F" w:rsidR="00861597" w:rsidRPr="00861597" w:rsidRDefault="00103C65" w:rsidP="008C30B0">
      <w:pPr>
        <w:pStyle w:val="ParaNoInd"/>
        <w:spacing w:line="480" w:lineRule="auto"/>
        <w:rPr>
          <w:sz w:val="24"/>
          <w:szCs w:val="24"/>
        </w:rPr>
      </w:pPr>
      <w:r w:rsidRPr="00B0248C">
        <w:rPr>
          <w:sz w:val="24"/>
          <w:szCs w:val="24"/>
        </w:rPr>
        <w:t xml:space="preserve">Approximately 300 CCM evaluations were conducted to produce Figure 1. These calculations finished in less </w:t>
      </w:r>
      <w:r w:rsidRPr="00AC0E06">
        <w:rPr>
          <w:sz w:val="24"/>
          <w:szCs w:val="24"/>
        </w:rPr>
        <w:t>than</w:t>
      </w:r>
      <w:r w:rsidRPr="00B0248C">
        <w:rPr>
          <w:sz w:val="24"/>
          <w:szCs w:val="24"/>
        </w:rPr>
        <w:t xml:space="preserve"> </w:t>
      </w:r>
      <w:r>
        <w:rPr>
          <w:sz w:val="24"/>
          <w:szCs w:val="24"/>
        </w:rPr>
        <w:t>30</w:t>
      </w:r>
      <w:r w:rsidRPr="00B0248C">
        <w:rPr>
          <w:sz w:val="24"/>
          <w:szCs w:val="24"/>
        </w:rPr>
        <w:t xml:space="preserve"> seconds on a single 2.6 GHz processor. </w:t>
      </w:r>
      <w:r>
        <w:rPr>
          <w:sz w:val="24"/>
          <w:szCs w:val="24"/>
        </w:rPr>
        <w:t xml:space="preserve">Each of these evaluations involved the prediction of over 60,000 points, compiled across all sliding windows of libraries of varying lengths.  At an average of 1.7 microseconds per prediction, this is a highly efficient implementation given the computational challenges. </w:t>
      </w:r>
    </w:p>
    <w:p w14:paraId="3F88087D" w14:textId="72BCDEF8" w:rsidR="00103C65" w:rsidRDefault="007D7229" w:rsidP="008C30B0">
      <w:pPr>
        <w:pStyle w:val="Heading2"/>
        <w:spacing w:line="480" w:lineRule="auto"/>
      </w:pPr>
      <w:r>
        <w:t>Dependence of predictive skill on time series length</w:t>
      </w:r>
    </w:p>
    <w:p w14:paraId="1284BAB1" w14:textId="77777777" w:rsidR="00624E32" w:rsidRDefault="00103C65" w:rsidP="008C30B0">
      <w:pPr>
        <w:pStyle w:val="ParaNoInd"/>
        <w:spacing w:line="480" w:lineRule="auto"/>
        <w:rPr>
          <w:sz w:val="24"/>
          <w:szCs w:val="24"/>
        </w:rPr>
      </w:pPr>
      <w:r>
        <w:rPr>
          <w:sz w:val="24"/>
          <w:szCs w:val="24"/>
        </w:rPr>
        <w:t xml:space="preserve">CauseMap is designed to examine causal relationships in time series with 25 or more observations. In order to illustrate the effects of shorter time series, we thinned the </w:t>
      </w:r>
      <w:r>
        <w:rPr>
          <w:i/>
          <w:sz w:val="24"/>
          <w:szCs w:val="24"/>
        </w:rPr>
        <w:t xml:space="preserve">Paramedium-Didinium </w:t>
      </w:r>
      <w:r>
        <w:rPr>
          <w:sz w:val="24"/>
          <w:szCs w:val="24"/>
        </w:rPr>
        <w:t>data set by one-half and by one-third, yielding series of 30 and 20 observations, respectively. Figure 2 demonstrates the effect of this reduction on the convergence of predictive skill (</w:t>
      </w:r>
      <w:r w:rsidRPr="0040175A">
        <w:rPr>
          <w:sz w:val="24"/>
          <w:szCs w:val="24"/>
        </w:rPr>
        <w:t>ρ</w:t>
      </w:r>
      <w:r w:rsidRPr="0040175A">
        <w:rPr>
          <w:sz w:val="24"/>
          <w:szCs w:val="24"/>
          <w:vertAlign w:val="subscript"/>
        </w:rPr>
        <w:t>ccm</w:t>
      </w:r>
      <w:r>
        <w:rPr>
          <w:sz w:val="24"/>
          <w:szCs w:val="24"/>
        </w:rPr>
        <w:t xml:space="preserve">). We see that the 1/2 thinned data set recapitulates the trends observed in the full series, including the relative magnitudes of </w:t>
      </w:r>
      <w:r w:rsidRPr="0040175A">
        <w:rPr>
          <w:sz w:val="24"/>
          <w:szCs w:val="24"/>
        </w:rPr>
        <w:t>ρ</w:t>
      </w:r>
      <w:r w:rsidRPr="0040175A">
        <w:rPr>
          <w:sz w:val="24"/>
          <w:szCs w:val="24"/>
          <w:vertAlign w:val="subscript"/>
        </w:rPr>
        <w:t>ccm</w:t>
      </w:r>
      <w:r w:rsidRPr="00345AC9">
        <w:rPr>
          <w:sz w:val="24"/>
          <w:szCs w:val="24"/>
        </w:rPr>
        <w:t xml:space="preserve"> </w:t>
      </w:r>
      <w:r>
        <w:rPr>
          <w:sz w:val="24"/>
          <w:szCs w:val="24"/>
        </w:rPr>
        <w:t xml:space="preserve">between the mappings of </w:t>
      </w:r>
      <w:r>
        <w:rPr>
          <w:i/>
          <w:sz w:val="24"/>
          <w:szCs w:val="24"/>
        </w:rPr>
        <w:t>Didinium</w:t>
      </w:r>
      <w:r>
        <w:rPr>
          <w:sz w:val="24"/>
          <w:szCs w:val="24"/>
        </w:rPr>
        <w:t xml:space="preserve"> to </w:t>
      </w:r>
      <w:r>
        <w:rPr>
          <w:i/>
          <w:sz w:val="24"/>
          <w:szCs w:val="24"/>
        </w:rPr>
        <w:t>Paramecium</w:t>
      </w:r>
      <w:r>
        <w:rPr>
          <w:sz w:val="24"/>
          <w:szCs w:val="24"/>
        </w:rPr>
        <w:t xml:space="preserve"> and vice versa. The 1/3 thinned sample set, on the other hand, no longer demonstrates convergence. In addition, compared to the longer sets, it exhibits the opposite trend in relative predictive skill</w:t>
      </w:r>
      <w:r>
        <w:rPr>
          <w:sz w:val="24"/>
          <w:szCs w:val="24"/>
          <w:vertAlign w:val="subscript"/>
        </w:rPr>
        <w:t xml:space="preserve"> </w:t>
      </w:r>
      <w:r>
        <w:rPr>
          <w:sz w:val="24"/>
          <w:szCs w:val="24"/>
        </w:rPr>
        <w:t xml:space="preserve">between the two mappings. Patterns in max </w:t>
      </w:r>
      <w:r w:rsidRPr="0040175A">
        <w:rPr>
          <w:sz w:val="24"/>
          <w:szCs w:val="24"/>
        </w:rPr>
        <w:t>ρ</w:t>
      </w:r>
      <w:r w:rsidRPr="0040175A">
        <w:rPr>
          <w:sz w:val="24"/>
          <w:szCs w:val="24"/>
          <w:vertAlign w:val="subscript"/>
        </w:rPr>
        <w:t>ccm</w:t>
      </w:r>
      <w:r>
        <w:rPr>
          <w:sz w:val="24"/>
          <w:szCs w:val="24"/>
          <w:vertAlign w:val="subscript"/>
        </w:rPr>
        <w:t xml:space="preserve"> </w:t>
      </w:r>
      <w:r>
        <w:rPr>
          <w:sz w:val="24"/>
          <w:szCs w:val="24"/>
        </w:rPr>
        <w:t xml:space="preserve">versus E and </w:t>
      </w:r>
      <w:r w:rsidRPr="0016423F">
        <w:rPr>
          <w:sz w:val="24"/>
          <w:szCs w:val="24"/>
        </w:rPr>
        <w:t>τ</w:t>
      </w:r>
      <w:r w:rsidRPr="0016423F">
        <w:rPr>
          <w:sz w:val="24"/>
          <w:szCs w:val="24"/>
          <w:vertAlign w:val="subscript"/>
        </w:rPr>
        <w:t>p</w:t>
      </w:r>
      <w:r>
        <w:rPr>
          <w:sz w:val="24"/>
          <w:szCs w:val="24"/>
          <w:vertAlign w:val="subscript"/>
        </w:rPr>
        <w:t xml:space="preserve"> </w:t>
      </w:r>
      <w:r>
        <w:rPr>
          <w:sz w:val="24"/>
          <w:szCs w:val="24"/>
        </w:rPr>
        <w:t>are approximately conserved, however (fig. S1).</w:t>
      </w:r>
      <w:r w:rsidR="00861597">
        <w:rPr>
          <w:sz w:val="24"/>
          <w:szCs w:val="24"/>
        </w:rPr>
        <w:t xml:space="preserve"> </w:t>
      </w:r>
    </w:p>
    <w:p w14:paraId="60BA6CB0" w14:textId="0533FAF5" w:rsidR="00C634C8" w:rsidRDefault="00C95FAD" w:rsidP="008C30B0">
      <w:pPr>
        <w:pStyle w:val="ParaNoInd"/>
        <w:spacing w:line="480" w:lineRule="auto"/>
        <w:ind w:firstLine="720"/>
        <w:rPr>
          <w:sz w:val="24"/>
          <w:szCs w:val="24"/>
        </w:rPr>
      </w:pPr>
      <w:r>
        <w:rPr>
          <w:sz w:val="24"/>
          <w:szCs w:val="24"/>
        </w:rPr>
        <w:t xml:space="preserve">This example </w:t>
      </w:r>
      <w:r w:rsidR="00861597">
        <w:rPr>
          <w:sz w:val="24"/>
          <w:szCs w:val="24"/>
        </w:rPr>
        <w:t>illustrates</w:t>
      </w:r>
      <w:r w:rsidR="00624E32">
        <w:rPr>
          <w:sz w:val="24"/>
          <w:szCs w:val="24"/>
        </w:rPr>
        <w:t xml:space="preserve"> two phenomena. First, </w:t>
      </w:r>
      <w:r>
        <w:rPr>
          <w:sz w:val="24"/>
          <w:szCs w:val="24"/>
        </w:rPr>
        <w:t xml:space="preserve">examining the dependence of predictive skill on E and </w:t>
      </w:r>
      <w:r w:rsidRPr="00B0248C">
        <w:rPr>
          <w:sz w:val="24"/>
          <w:szCs w:val="24"/>
        </w:rPr>
        <w:t>τ</w:t>
      </w:r>
      <w:r w:rsidRPr="00B0248C">
        <w:rPr>
          <w:sz w:val="24"/>
          <w:szCs w:val="24"/>
          <w:vertAlign w:val="subscript"/>
        </w:rPr>
        <w:t>p</w:t>
      </w:r>
      <w:r>
        <w:rPr>
          <w:sz w:val="24"/>
          <w:szCs w:val="24"/>
        </w:rPr>
        <w:t xml:space="preserve"> gives us a more robust measure of causality than L alone.</w:t>
      </w:r>
      <w:r>
        <w:rPr>
          <w:sz w:val="24"/>
          <w:szCs w:val="24"/>
        </w:rPr>
        <w:t xml:space="preserve"> Second, </w:t>
      </w:r>
      <w:r w:rsidR="00861597">
        <w:rPr>
          <w:sz w:val="24"/>
          <w:szCs w:val="24"/>
        </w:rPr>
        <w:t xml:space="preserve">CCM performance drops off </w:t>
      </w:r>
      <w:r w:rsidR="00624E32">
        <w:rPr>
          <w:sz w:val="24"/>
          <w:szCs w:val="24"/>
        </w:rPr>
        <w:t xml:space="preserve">sharply </w:t>
      </w:r>
      <w:r w:rsidR="00861597">
        <w:rPr>
          <w:sz w:val="24"/>
          <w:szCs w:val="24"/>
        </w:rPr>
        <w:t>between 20 and 30 data points. This behavior is partially due to the fact that the predictive skill for a given library size is averaged across sliding windows</w:t>
      </w:r>
      <w:r>
        <w:rPr>
          <w:sz w:val="24"/>
          <w:szCs w:val="24"/>
        </w:rPr>
        <w:t xml:space="preserve"> of that size</w:t>
      </w:r>
      <w:r w:rsidR="00861597">
        <w:rPr>
          <w:sz w:val="24"/>
          <w:szCs w:val="24"/>
        </w:rPr>
        <w:t>. As time series get shorter, there are fewer windows of appropriate size across which to average, so the estimate for predictive skill becomes much less reliable.</w:t>
      </w:r>
      <w:r w:rsidR="00624E32">
        <w:rPr>
          <w:sz w:val="24"/>
          <w:szCs w:val="24"/>
        </w:rPr>
        <w:t xml:space="preserve"> </w:t>
      </w:r>
    </w:p>
    <w:p w14:paraId="0089FF6B" w14:textId="4DD99D4A" w:rsidR="00103C65" w:rsidRPr="00C634C8" w:rsidRDefault="00C634C8" w:rsidP="008C30B0">
      <w:pPr>
        <w:rPr>
          <w:rFonts w:ascii="Times New Roman" w:hAnsi="Times New Roman"/>
        </w:rPr>
      </w:pPr>
      <w:r>
        <w:br w:type="page"/>
      </w:r>
    </w:p>
    <w:p w14:paraId="6AE88E80" w14:textId="77777777" w:rsidR="00103C65" w:rsidRDefault="00103C65" w:rsidP="008C30B0">
      <w:pPr>
        <w:pStyle w:val="ParaNoInd"/>
        <w:spacing w:line="480" w:lineRule="auto"/>
        <w:rPr>
          <w:sz w:val="24"/>
          <w:szCs w:val="24"/>
        </w:rPr>
      </w:pPr>
      <w:r>
        <w:rPr>
          <w:noProof/>
          <w:sz w:val="24"/>
          <w:szCs w:val="24"/>
          <w:lang w:eastAsia="en-US"/>
        </w:rPr>
        <w:drawing>
          <wp:inline distT="0" distB="0" distL="0" distR="0" wp14:anchorId="48F38929" wp14:editId="41E1BFFD">
            <wp:extent cx="5209130" cy="2790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rotWithShape="1">
                    <a:blip r:embed="rId10">
                      <a:extLst>
                        <a:ext uri="{28A0092B-C50C-407E-A947-70E740481C1C}">
                          <a14:useLocalDpi xmlns:a14="http://schemas.microsoft.com/office/drawing/2010/main" val="0"/>
                        </a:ext>
                      </a:extLst>
                    </a:blip>
                    <a:srcRect r="5054"/>
                    <a:stretch/>
                  </pic:blipFill>
                  <pic:spPr bwMode="auto">
                    <a:xfrm>
                      <a:off x="0" y="0"/>
                      <a:ext cx="5209130" cy="2790825"/>
                    </a:xfrm>
                    <a:prstGeom prst="rect">
                      <a:avLst/>
                    </a:prstGeom>
                    <a:ln>
                      <a:noFill/>
                    </a:ln>
                    <a:extLst>
                      <a:ext uri="{53640926-AAD7-44d8-BBD7-CCE9431645EC}">
                        <a14:shadowObscured xmlns:a14="http://schemas.microsoft.com/office/drawing/2010/main"/>
                      </a:ext>
                    </a:extLst>
                  </pic:spPr>
                </pic:pic>
              </a:graphicData>
            </a:graphic>
          </wp:inline>
        </w:drawing>
      </w:r>
    </w:p>
    <w:p w14:paraId="76AFBA49" w14:textId="77777777" w:rsidR="00103C65" w:rsidRPr="00A95991" w:rsidRDefault="00103C65" w:rsidP="008C30B0">
      <w:pPr>
        <w:rPr>
          <w:rFonts w:ascii="PT Serif" w:hAnsi="PT Serif"/>
          <w:sz w:val="20"/>
          <w:szCs w:val="20"/>
        </w:rPr>
      </w:pPr>
      <w:r w:rsidRPr="00947D91">
        <w:rPr>
          <w:rFonts w:ascii="PT Serif" w:hAnsi="PT Serif"/>
          <w:b/>
          <w:bCs/>
          <w:sz w:val="20"/>
          <w:szCs w:val="20"/>
        </w:rPr>
        <w:t>Fig. 2.</w:t>
      </w:r>
      <w:r w:rsidRPr="00947D91">
        <w:rPr>
          <w:rFonts w:ascii="PT Serif" w:hAnsi="PT Serif"/>
          <w:b/>
          <w:bCs/>
          <w:sz w:val="20"/>
          <w:szCs w:val="20"/>
        </w:rPr>
        <w:t> </w:t>
      </w:r>
      <w:r w:rsidRPr="00947D91">
        <w:rPr>
          <w:rFonts w:ascii="PT Serif" w:hAnsi="PT Serif"/>
          <w:b/>
          <w:bCs/>
          <w:sz w:val="20"/>
          <w:szCs w:val="20"/>
        </w:rPr>
        <w:t xml:space="preserve">The effect of time series length on </w:t>
      </w:r>
      <w:r w:rsidRPr="00947D91">
        <w:rPr>
          <w:rFonts w:ascii="Times New Roman" w:hAnsi="Times New Roman"/>
          <w:b/>
          <w:bCs/>
          <w:sz w:val="20"/>
          <w:szCs w:val="20"/>
        </w:rPr>
        <w:t>ρ</w:t>
      </w:r>
      <w:r w:rsidRPr="00947D91">
        <w:rPr>
          <w:rFonts w:ascii="PT Serif" w:hAnsi="PT Serif"/>
          <w:b/>
          <w:bCs/>
          <w:sz w:val="20"/>
          <w:szCs w:val="20"/>
          <w:vertAlign w:val="subscript"/>
        </w:rPr>
        <w:t>ccm</w:t>
      </w:r>
      <w:r w:rsidRPr="00947D91">
        <w:rPr>
          <w:rFonts w:ascii="PT Serif" w:hAnsi="PT Serif"/>
          <w:b/>
          <w:bCs/>
          <w:sz w:val="20"/>
          <w:szCs w:val="20"/>
        </w:rPr>
        <w:t xml:space="preserve"> convergence.</w:t>
      </w:r>
      <w:r>
        <w:rPr>
          <w:rFonts w:ascii="PT Serif" w:hAnsi="PT Serif"/>
          <w:b/>
          <w:bCs/>
          <w:sz w:val="20"/>
          <w:szCs w:val="20"/>
        </w:rPr>
        <w:t xml:space="preserve"> </w:t>
      </w:r>
      <w:r w:rsidRPr="00947D91">
        <w:rPr>
          <w:rFonts w:ascii="PT Serif" w:hAnsi="PT Serif"/>
          <w:bCs/>
          <w:sz w:val="20"/>
          <w:szCs w:val="20"/>
        </w:rPr>
        <w:t>Black, blue, and red lines illu</w:t>
      </w:r>
      <w:r>
        <w:rPr>
          <w:rFonts w:ascii="PT Serif" w:hAnsi="PT Serif"/>
          <w:bCs/>
          <w:sz w:val="20"/>
          <w:szCs w:val="20"/>
        </w:rPr>
        <w:t xml:space="preserve">strate </w:t>
      </w:r>
      <w:r w:rsidRPr="00947D91">
        <w:rPr>
          <w:rFonts w:ascii="Times New Roman" w:hAnsi="Times New Roman"/>
          <w:b/>
          <w:bCs/>
          <w:sz w:val="20"/>
          <w:szCs w:val="20"/>
        </w:rPr>
        <w:t>ρ</w:t>
      </w:r>
      <w:r w:rsidRPr="00947D91">
        <w:rPr>
          <w:rFonts w:ascii="PT Serif" w:hAnsi="PT Serif"/>
          <w:b/>
          <w:bCs/>
          <w:sz w:val="20"/>
          <w:szCs w:val="20"/>
          <w:vertAlign w:val="subscript"/>
        </w:rPr>
        <w:t>ccm</w:t>
      </w:r>
      <w:r>
        <w:rPr>
          <w:rFonts w:ascii="PT Serif" w:hAnsi="PT Serif"/>
          <w:b/>
          <w:bCs/>
          <w:sz w:val="20"/>
          <w:szCs w:val="20"/>
          <w:vertAlign w:val="subscript"/>
        </w:rPr>
        <w:t xml:space="preserve"> </w:t>
      </w:r>
      <w:r>
        <w:rPr>
          <w:rFonts w:ascii="PT Serif" w:hAnsi="PT Serif"/>
          <w:bCs/>
          <w:sz w:val="20"/>
          <w:szCs w:val="20"/>
        </w:rPr>
        <w:t xml:space="preserve">for the full, 1/2 thinned, and 1/3 thinned datasets, respectively. For a given color, darker lines show </w:t>
      </w:r>
      <w:r w:rsidRPr="00A95991">
        <w:rPr>
          <w:rFonts w:ascii="Times New Roman" w:hAnsi="Times New Roman"/>
          <w:bCs/>
          <w:sz w:val="20"/>
          <w:szCs w:val="20"/>
        </w:rPr>
        <w:t>ρ</w:t>
      </w:r>
      <w:r w:rsidRPr="00A95991">
        <w:rPr>
          <w:rFonts w:ascii="PT Serif" w:hAnsi="PT Serif"/>
          <w:bCs/>
          <w:sz w:val="20"/>
          <w:szCs w:val="20"/>
          <w:vertAlign w:val="subscript"/>
        </w:rPr>
        <w:t xml:space="preserve">ccm </w:t>
      </w:r>
      <w:r>
        <w:rPr>
          <w:rFonts w:ascii="PT Serif" w:hAnsi="PT Serif"/>
          <w:bCs/>
          <w:sz w:val="20"/>
          <w:szCs w:val="20"/>
        </w:rPr>
        <w:t xml:space="preserve">for the test of whether </w:t>
      </w:r>
      <w:r>
        <w:rPr>
          <w:rFonts w:ascii="PT Serif" w:hAnsi="PT Serif"/>
          <w:bCs/>
          <w:i/>
          <w:sz w:val="20"/>
          <w:szCs w:val="20"/>
        </w:rPr>
        <w:t>Didinium</w:t>
      </w:r>
      <w:r>
        <w:rPr>
          <w:rFonts w:ascii="PT Serif" w:hAnsi="PT Serif"/>
          <w:bCs/>
          <w:sz w:val="20"/>
          <w:szCs w:val="20"/>
        </w:rPr>
        <w:t xml:space="preserve"> abundance influences </w:t>
      </w:r>
      <w:r>
        <w:rPr>
          <w:rFonts w:ascii="PT Serif" w:hAnsi="PT Serif"/>
          <w:bCs/>
          <w:i/>
          <w:sz w:val="20"/>
          <w:szCs w:val="20"/>
        </w:rPr>
        <w:t>Paramecium</w:t>
      </w:r>
      <w:r>
        <w:rPr>
          <w:rFonts w:ascii="PT Serif" w:hAnsi="PT Serif"/>
          <w:bCs/>
          <w:sz w:val="20"/>
          <w:szCs w:val="20"/>
        </w:rPr>
        <w:t xml:space="preserve"> abundance. Lighter lines examine the converse. </w:t>
      </w:r>
    </w:p>
    <w:p w14:paraId="301F637A" w14:textId="240CC5B8" w:rsidR="00103C65" w:rsidRPr="001D06C3" w:rsidRDefault="00103C65" w:rsidP="008C30B0">
      <w:pPr>
        <w:pStyle w:val="ParaNoInd"/>
        <w:spacing w:line="480" w:lineRule="auto"/>
        <w:rPr>
          <w:i/>
          <w:sz w:val="24"/>
          <w:szCs w:val="24"/>
        </w:rPr>
      </w:pPr>
      <w:r>
        <w:rPr>
          <w:sz w:val="24"/>
          <w:szCs w:val="24"/>
        </w:rPr>
        <w:t xml:space="preserve"> </w:t>
      </w:r>
    </w:p>
    <w:p w14:paraId="3F3806CD" w14:textId="7664189C" w:rsidR="00103C65" w:rsidRPr="007D7229" w:rsidRDefault="007D7229" w:rsidP="008C30B0">
      <w:pPr>
        <w:pStyle w:val="Heading2"/>
        <w:spacing w:line="480" w:lineRule="auto"/>
      </w:pPr>
      <w:r>
        <w:t>Potential biomedical applications</w:t>
      </w:r>
    </w:p>
    <w:p w14:paraId="6369CB40" w14:textId="74B7668B" w:rsidR="00103C65" w:rsidRPr="00415A25" w:rsidRDefault="00103C65" w:rsidP="008C30B0">
      <w:pPr>
        <w:pStyle w:val="ParaNoInd"/>
        <w:spacing w:line="480" w:lineRule="auto"/>
        <w:rPr>
          <w:sz w:val="24"/>
          <w:szCs w:val="24"/>
        </w:rPr>
      </w:pPr>
      <w:r>
        <w:rPr>
          <w:sz w:val="24"/>
          <w:szCs w:val="24"/>
        </w:rPr>
        <w:t xml:space="preserve">Despite its requirement for relatively long time series (&gt;25 observations), CauseMap has the advantage of requiring only a single time series for each variable. In dynamical systems with widely varying or context-specific behavior, this would allow researchers to draw conclusions that are tailored to, e.g. a given patient. Rather than acting on population averages, biomedical researchers would be free to fully personalize therapy to the unique biology and ecology of the patient. One example of this is in the treatment of microbiome dysbiosis. Imbalances in the microbiome have been implicated in, e.g. irritable bowel disease (IBD), obesity, diabetes, asthma, anxiety, and depression </w:t>
      </w:r>
      <w:r>
        <w:rPr>
          <w:sz w:val="24"/>
          <w:szCs w:val="24"/>
        </w:rPr>
        <w:fldChar w:fldCharType="begin" w:fldLock="1"/>
      </w:r>
      <w:r>
        <w:rPr>
          <w:sz w:val="24"/>
          <w:szCs w:val="24"/>
        </w:rPr>
        <w:instrText>ADDIN CSL_CITATION { "citationItems" : [ { "id" : "ITEM-1", "itemData" : { "DOI" : "10.3389/fimmu.2014.00427", "ISSN" : "1664-3224", "PMID" : "25250028", "abstract" : "Human microbial colonization begins at birth and continues to develop and modulate in species abundance for about 3\u2009years, until the microbiota becomes adult-like. During the same time period, children experience significant developmental changes that influence their health status as well as their immune system. An ever-expanding number of articles associate several diseases with early-life imbalances of the gut microbiota, also referred to as gut microbial dysbiosis. Whether early-life dysbiosis precedes and plays a role in disease pathogenesis, or simply originates from the disease process itself is a question that is beginning to be answered in a few diseases, including IBD, obesity, and asthma. This review describes the gut microbiome structure and function during the formative first years of life, as well as the environmental factors that determine its composition. It also aims to discuss the recent advances in understanding the role of the early-life gut microbiota in the development of immune-mediated, metabolic, and neurological diseases. A greater understanding of how the early-life gut microbiota impacts our immune development could potentially lead to novel microbial-derived therapies that target disease prevention at an early age.", "author" : [ { "dropping-particle" : "", "family" : "Arrieta", "given" : "Marie-Claire", "non-dropping-particle" : "", "parse-names" : false, "suffix" : "" }, { "dropping-particle" : "", "family" : "Stiemsma", "given" : "Leah T.", "non-dropping-particle" : "", "parse-names" : false, "suffix" : "" }, { "dropping-particle" : "", "family" : "Amenyogbe", "given" : "Nelly", "non-dropping-particle" : "", "parse-names" : false, "suffix" : "" }, { "dropping-particle" : "", "family" : "Brown", "given" : "Eric M.", "non-dropping-particle" : "", "parse-names" : false, "suffix" : "" }, { "dropping-particle" : "", "family" : "Finlay", "given" : "Brett", "non-dropping-particle" : "", "parse-names" : false, "suffix" : "" } ], "container-title" : "Frontiers in Immunology", "id" : "ITEM-1", "issued" : { "date-parts" : [ [ "2014", "9", "5" ] ] }, "page" : "427", "title" : "The Intestinal Microbiome in Early Life: Health and Disease", "type" : "article-journal", "volume" : "5" }, "uris" : [ "http://www.mendeley.com/documents/?uuid=cdcc7968-27ca-43ea-b9ea-84a19991bcb7" ] }, { "id" : "ITEM-2", "itemData" : { "DOI" : "10.1016/j.tins.2013.01.005", "ISSN" : "1878-108X", "PMID" : "23384445", "abstract" : "Within the first few days of life, humans are colonized by commensal intestinal microbiota. Here, we review recent findings showing that microbiota are important in normal healthy brain function. We also discuss the relation between stress and microbiota, and how alterations in microbiota influence stress-related behaviors. New studies show that bacteria, including commensal, probiotic, and pathogenic bacteria, in the gastrointestinal (GI) tract can activate neural pathways and central nervous system (CNS) signaling systems. Ongoing and future animal and clinical studies aimed at understanding the microbiota-gut-brain axis may provide novel approaches for prevention and treatment of mental illness, including anxiety and depression.", "author" : [ { "dropping-particle" : "", "family" : "Foster", "given" : "Jane A", "non-dropping-particle" : "", "parse-names" : false, "suffix" : "" }, { "dropping-particle" : "", "family" : "McVey Neufeld", "given" : "Karen-Anne", "non-dropping-particle" : "", "parse-names" : false, "suffix" : "" } ], "container-title" : "Trends in neurosciences", "id" : "ITEM-2", "issue" : "5", "issued" : { "date-parts" : [ [ "2013", "5" ] ] }, "page" : "305-12", "title" : "Gut-brain axis: how the microbiome influences anxiety and depression.", "type" : "article-journal", "volume" : "36" }, "uris" : [ "http://www.mendeley.com/documents/?uuid=787d9c75-2994-4154-b078-183a243382da" ] } ], "mendeley" : { "previouslyFormattedCitation" : "(Foster &amp; McVey Neufeld, 2013; Arrieta et al., 2014)" }, "properties" : { "noteIndex" : 0 }, "schema" : "https://github.com/citation-style-language/schema/raw/master/csl-citation.json" }</w:instrText>
      </w:r>
      <w:r>
        <w:rPr>
          <w:sz w:val="24"/>
          <w:szCs w:val="24"/>
        </w:rPr>
        <w:fldChar w:fldCharType="separate"/>
      </w:r>
      <w:r w:rsidRPr="00386113">
        <w:rPr>
          <w:noProof/>
          <w:sz w:val="24"/>
          <w:szCs w:val="24"/>
        </w:rPr>
        <w:t>(Foster &amp; McVey Neufeld, 2013; Arrieta et al., 2014)</w:t>
      </w:r>
      <w:r>
        <w:rPr>
          <w:sz w:val="24"/>
          <w:szCs w:val="24"/>
        </w:rPr>
        <w:fldChar w:fldCharType="end"/>
      </w:r>
      <w:r>
        <w:rPr>
          <w:sz w:val="24"/>
          <w:szCs w:val="24"/>
        </w:rPr>
        <w:t xml:space="preserve">.  While fecal transplantation therapy is effective in treating specific types of dysbiosis </w:t>
      </w:r>
      <w:r>
        <w:rPr>
          <w:sz w:val="24"/>
          <w:szCs w:val="24"/>
        </w:rPr>
        <w:fldChar w:fldCharType="begin" w:fldLock="1"/>
      </w:r>
      <w:r>
        <w:rPr>
          <w:sz w:val="24"/>
          <w:szCs w:val="24"/>
        </w:rPr>
        <w:instrText>ADDIN CSL_CITATION { "citationItems" : [ { "id" : "ITEM-1", "itemData" : { "DOI" : "10.1016/j.imlet.2014.07.016", "ISSN" : "1879-0542", "PMID" : "25106113", "abstract" : "In the recent years fecal microbiota transplantation (FMT) has emerged as an effective therapeutic option for patients with refractory Clostridium difficile infection that is not responding to antibiotic therapy. It results in implantation of donor microbiota into recipients and restoration of normal distal gut microbial community structure. We anticipate that this form of therapy represents merely the first entry into a new class of therapeutics. There is great interest in application of FMT or defined microbial consortia to treatment of many diseases associated with dysbiosis. However, many challenges remain in development as our understanding of microbial ecology within the human body and microbiota-host interactions remain limited. Future advances in this field will be critically depending on detailed mechanistic understanding.", "author" : [ { "dropping-particle" : "", "family" : "Khoruts", "given" : "Alexander", "non-dropping-particle" : "", "parse-names" : false, "suffix" : "" }, { "dropping-particle" : "", "family" : "Weingarden", "given" : "Alexa R", "non-dropping-particle" : "", "parse-names" : false, "suffix" : "" } ], "container-title" : "Immunology letters", "id" : "ITEM-1", "issued" : { "date-parts" : [ [ "2014", "8", "10" ] ] }, "title" : "Emergence of fecal microbiota transplantation as an approach to repair disrupted microbial gut ecology.", "type" : "article-journal" }, "uris" : [ "http://www.mendeley.com/documents/?uuid=172fc5ae-7c99-4a98-a4d2-6dcb54779830" ] } ], "mendeley" : { "previouslyFormattedCitation" : "(Khoruts &amp; Weingarden, 2014)" }, "properties" : { "noteIndex" : 0 }, "schema" : "https://github.com/citation-style-language/schema/raw/master/csl-citation.json" }</w:instrText>
      </w:r>
      <w:r>
        <w:rPr>
          <w:sz w:val="24"/>
          <w:szCs w:val="24"/>
        </w:rPr>
        <w:fldChar w:fldCharType="separate"/>
      </w:r>
      <w:r w:rsidRPr="00386113">
        <w:rPr>
          <w:noProof/>
          <w:sz w:val="24"/>
          <w:szCs w:val="24"/>
        </w:rPr>
        <w:t>(Khoruts &amp; Weingarden, 2014)</w:t>
      </w:r>
      <w:r>
        <w:rPr>
          <w:sz w:val="24"/>
          <w:szCs w:val="24"/>
        </w:rPr>
        <w:fldChar w:fldCharType="end"/>
      </w:r>
      <w:r>
        <w:rPr>
          <w:sz w:val="24"/>
          <w:szCs w:val="24"/>
        </w:rPr>
        <w:t>, next generation therapeutics may offer a blend of purified strains, tailored to the gut ecology of the patient. We believe CauseMap has the potential to be a valuable tool for designing such breakthrough therapies.</w:t>
      </w:r>
    </w:p>
    <w:p w14:paraId="6CA73BDA" w14:textId="77777777" w:rsidR="00103C65" w:rsidRPr="00875E49" w:rsidRDefault="00103C65" w:rsidP="008C30B0">
      <w:pPr>
        <w:pStyle w:val="ParaNoInd"/>
        <w:spacing w:line="480" w:lineRule="auto"/>
        <w:ind w:firstLine="357"/>
        <w:rPr>
          <w:sz w:val="24"/>
          <w:szCs w:val="24"/>
        </w:rPr>
      </w:pPr>
      <w:r>
        <w:rPr>
          <w:sz w:val="24"/>
          <w:szCs w:val="24"/>
        </w:rPr>
        <w:t>Additional examples include understanding patient-to-patient variability in drug response using time series metabolomics, and examining the basis of e.g. influenza seasonality using global time series. We expect that such applications will continue to proliferate as the costs of data collection decrease over the coming years. For this reason, we believe it is vitally important that the biomedical research community have access to an efficient implementation of CCM that is user-friendly and available for immediate field testing.</w:t>
      </w:r>
    </w:p>
    <w:p w14:paraId="66AFFFB9" w14:textId="77777777" w:rsidR="00103C65" w:rsidRPr="00850841" w:rsidRDefault="00103C65" w:rsidP="008C30B0">
      <w:pPr>
        <w:pStyle w:val="Heading2"/>
        <w:spacing w:line="480" w:lineRule="auto"/>
      </w:pPr>
      <w:r>
        <w:t>Planned future development</w:t>
      </w:r>
    </w:p>
    <w:p w14:paraId="08F23AD8" w14:textId="77777777" w:rsidR="00103C65" w:rsidRPr="00172789" w:rsidRDefault="00103C65" w:rsidP="008C30B0">
      <w:pPr>
        <w:pStyle w:val="ParaNoInd"/>
        <w:spacing w:line="480" w:lineRule="auto"/>
        <w:rPr>
          <w:sz w:val="24"/>
          <w:szCs w:val="24"/>
        </w:rPr>
      </w:pPr>
      <w:r>
        <w:rPr>
          <w:sz w:val="24"/>
          <w:szCs w:val="24"/>
        </w:rPr>
        <w:t xml:space="preserve">In future versions, we will include S-map calculations to evaluate the non-linearity of the causal system </w:t>
      </w:r>
      <w:r>
        <w:rPr>
          <w:sz w:val="24"/>
          <w:szCs w:val="24"/>
        </w:rPr>
        <w:fldChar w:fldCharType="begin" w:fldLock="1"/>
      </w:r>
      <w:r>
        <w:rPr>
          <w:sz w:val="24"/>
          <w:szCs w:val="24"/>
        </w:rPr>
        <w:instrText>ADDIN CSL_CITATION { "citationItems" : [ { "id" : "ITEM-1", "itemData" : { "DOI" : "10.1098/rsta.1994.0106", "ISSN" : "1364-503X", "abstract" : "There is a growing trend in the natural sciences to view time series as products of dynamical systems. This viewpoint has proven to be particularly useful in stimulating debate and insight into the nature of the underlying generating mechanisms. Here I review some of the issues concerning the use of forecasting in the detection of nonlinearities and possible chaos, particularly with regard to stochastic chaos. Moreover, it is shown how recent attempts to measure meaningful Lyapunov exponents for ecological data are fundamentally flawed, and that when observational noise is convolved with process noise, computing Lyapunov exponents for the real system will be difficult. Such problems pave the way for more operational definitions of dynamic complexity (cf. Yao &amp; Tong, this volume). Aside from its use in the characterization of chaos, nonlinear forecasting can be used more broadly in pragmatic classification problems. Here I review a recent example of nonlinear forecasting as it is applied to classify human heart rhythms. In particular, it is shown how forecast nonlinearity can be a good discriminator of the physiological effects of age, and how prediction-decay may discriminate heart-disease. In so doing, I introduce a method for characterizing nonlinearity using `S-maps' and a method for analysing multiple short time series with composite attractors.", "author" : [ { "dropping-particle" : "", "family" : "Sugihara", "given" : "G.", "non-dropping-particle" : "", "parse-names" : false, "suffix" : "" } ], "container-title" : "Philosophical Transactions of the Royal Society A: Mathematical, Physical and Engineering Sciences", "id" : "ITEM-1", "issue" : "1688", "issued" : { "date-parts" : [ [ "1994", "9", "15" ] ] }, "page" : "477-495", "title" : "Nonlinear Forecasting for the Classification of Natural Time Series", "type" : "article-journal", "volume" : "348" }, "uris" : [ "http://www.mendeley.com/documents/?uuid=e6a864d2-9d59-4c57-9fa4-fa38aad965d0" ] } ], "mendeley" : { "previouslyFormattedCitation" : "(Sugihara, 1994)" }, "properties" : { "noteIndex" : 0 }, "schema" : "https://github.com/citation-style-language/schema/raw/master/csl-citation.json" }</w:instrText>
      </w:r>
      <w:r>
        <w:rPr>
          <w:sz w:val="24"/>
          <w:szCs w:val="24"/>
        </w:rPr>
        <w:fldChar w:fldCharType="separate"/>
      </w:r>
      <w:r w:rsidRPr="00B23D1B">
        <w:rPr>
          <w:noProof/>
          <w:sz w:val="24"/>
          <w:szCs w:val="24"/>
        </w:rPr>
        <w:t>(Sugihara, 1994)</w:t>
      </w:r>
      <w:r>
        <w:rPr>
          <w:sz w:val="24"/>
          <w:szCs w:val="24"/>
        </w:rPr>
        <w:fldChar w:fldCharType="end"/>
      </w:r>
      <w:r>
        <w:rPr>
          <w:sz w:val="24"/>
          <w:szCs w:val="24"/>
        </w:rPr>
        <w:t xml:space="preserve">.  We will also add a bootstrap-based procedure for library selection, as opposed to the current approach using sliding windows. This has been shown to reduce the effect of secular trends on the cross map correlation (Hao Ye, George Sugihara, </w:t>
      </w:r>
      <w:r>
        <w:rPr>
          <w:i/>
          <w:sz w:val="24"/>
          <w:szCs w:val="24"/>
        </w:rPr>
        <w:t>personal communication</w:t>
      </w:r>
      <w:r>
        <w:rPr>
          <w:sz w:val="24"/>
          <w:szCs w:val="24"/>
        </w:rPr>
        <w:t>). In addition, we will re-implement the plotting functionality in Julia, removing the requirements of Python and matplotlib for visualization. Finally, we will design Python and R wrappers for CauseMap functions so that our codebase can be easily leveraged from those environments as well. User suggestions will also be considered as we decide how best to develop the tool.</w:t>
      </w:r>
    </w:p>
    <w:p w14:paraId="4FC833C1" w14:textId="77777777" w:rsidR="00103C65" w:rsidRPr="00B0248C" w:rsidRDefault="00103C65" w:rsidP="008C30B0">
      <w:pPr>
        <w:pStyle w:val="Heading1"/>
        <w:spacing w:before="360" w:line="480" w:lineRule="auto"/>
        <w:ind w:left="357" w:hanging="357"/>
      </w:pPr>
      <w:r w:rsidRPr="00B0248C">
        <w:t>C</w:t>
      </w:r>
      <w:r>
        <w:t>onclusions</w:t>
      </w:r>
    </w:p>
    <w:p w14:paraId="71871A1C" w14:textId="1185F20C" w:rsidR="00861597" w:rsidRDefault="00103C65" w:rsidP="008C30B0">
      <w:pPr>
        <w:pStyle w:val="ParaNoInd"/>
        <w:spacing w:line="480" w:lineRule="auto"/>
        <w:rPr>
          <w:sz w:val="24"/>
          <w:szCs w:val="24"/>
        </w:rPr>
      </w:pPr>
      <w:r w:rsidRPr="00B0248C">
        <w:rPr>
          <w:sz w:val="24"/>
          <w:szCs w:val="24"/>
        </w:rPr>
        <w:t>CauseMap provides a fast, user-friendly implementation of CCM, a powerful new method for exploring dependencies and even establishing causality in complex, highly non-linear datasets with many unobserved variables. We believe that CCM</w:t>
      </w:r>
      <w:r>
        <w:rPr>
          <w:sz w:val="24"/>
          <w:szCs w:val="24"/>
        </w:rPr>
        <w:t xml:space="preserve"> holds a great deal of promise for a wide range of applications, including personalized microbiome therapy and metabolic dynamics analysis. As novel time series datasets continue to emerge, it is our hope that CauseMap will allow researchers to uncover interesting and biomedically actionable causal relationships using this next-generation time series method. </w:t>
      </w:r>
    </w:p>
    <w:p w14:paraId="5275F006" w14:textId="775A58EA" w:rsidR="00103C65" w:rsidRPr="00861597" w:rsidRDefault="00861597" w:rsidP="008C30B0">
      <w:pPr>
        <w:rPr>
          <w:rFonts w:ascii="Times New Roman" w:hAnsi="Times New Roman"/>
        </w:rPr>
      </w:pPr>
      <w:r>
        <w:br w:type="page"/>
      </w:r>
    </w:p>
    <w:p w14:paraId="67018820" w14:textId="77777777" w:rsidR="00103C65" w:rsidRPr="00B0248C" w:rsidRDefault="00103C65" w:rsidP="008C30B0">
      <w:pPr>
        <w:pStyle w:val="Heading1"/>
        <w:spacing w:before="360" w:line="480" w:lineRule="auto"/>
        <w:ind w:left="357" w:hanging="357"/>
      </w:pPr>
      <w:r w:rsidRPr="00B0248C">
        <w:t>Availability and Requirements</w:t>
      </w:r>
    </w:p>
    <w:p w14:paraId="40D01974" w14:textId="77777777" w:rsidR="00103C65" w:rsidRPr="00B0248C" w:rsidRDefault="00103C65" w:rsidP="008C30B0">
      <w:pPr>
        <w:ind w:right="480"/>
        <w:textAlignment w:val="baseline"/>
        <w:rPr>
          <w:rFonts w:ascii="inherit" w:hAnsi="inherit" w:hint="eastAsia"/>
          <w:color w:val="000000"/>
        </w:rPr>
      </w:pPr>
      <w:r w:rsidRPr="00B0248C">
        <w:rPr>
          <w:rFonts w:ascii="inherit" w:hAnsi="inherit"/>
          <w:b/>
          <w:bCs/>
          <w:color w:val="000000"/>
          <w:bdr w:val="none" w:sz="0" w:space="0" w:color="auto" w:frame="1"/>
        </w:rPr>
        <w:t>Project name:</w:t>
      </w:r>
      <w:r w:rsidRPr="00B0248C">
        <w:rPr>
          <w:rFonts w:ascii="inherit" w:hAnsi="inherit"/>
          <w:color w:val="000000"/>
        </w:rPr>
        <w:t> </w:t>
      </w:r>
      <w:r>
        <w:rPr>
          <w:rFonts w:ascii="inherit" w:hAnsi="inherit"/>
          <w:color w:val="000000"/>
        </w:rPr>
        <w:t>CauseMap</w:t>
      </w:r>
    </w:p>
    <w:p w14:paraId="0A6D4B37" w14:textId="77777777" w:rsidR="00103C65" w:rsidRPr="00B0248C" w:rsidRDefault="00103C65" w:rsidP="008C30B0">
      <w:pPr>
        <w:ind w:right="480"/>
        <w:textAlignment w:val="baseline"/>
        <w:rPr>
          <w:rFonts w:ascii="inherit" w:hAnsi="inherit" w:hint="eastAsia"/>
          <w:color w:val="000000"/>
        </w:rPr>
      </w:pPr>
      <w:r w:rsidRPr="00B0248C">
        <w:rPr>
          <w:rFonts w:ascii="inherit" w:hAnsi="inherit"/>
          <w:b/>
          <w:bCs/>
          <w:color w:val="000000"/>
          <w:bdr w:val="none" w:sz="0" w:space="0" w:color="auto" w:frame="1"/>
        </w:rPr>
        <w:t>Project home page:</w:t>
      </w:r>
      <w:r w:rsidRPr="00B0248C">
        <w:rPr>
          <w:rFonts w:ascii="inherit" w:hAnsi="inherit"/>
          <w:color w:val="000000"/>
        </w:rPr>
        <w:t> </w:t>
      </w:r>
      <w:r w:rsidRPr="000E3DC0">
        <w:rPr>
          <w:rFonts w:ascii="inherit" w:hAnsi="inherit"/>
          <w:color w:val="000000"/>
        </w:rPr>
        <w:t>http://cyrusmaher.github.io/CauseMap.jl/</w:t>
      </w:r>
    </w:p>
    <w:p w14:paraId="1DEB28D1" w14:textId="77777777" w:rsidR="00103C65" w:rsidRPr="00B0248C" w:rsidRDefault="00103C65" w:rsidP="008C30B0">
      <w:pPr>
        <w:ind w:right="480"/>
        <w:textAlignment w:val="baseline"/>
        <w:rPr>
          <w:rFonts w:ascii="inherit" w:hAnsi="inherit" w:hint="eastAsia"/>
          <w:color w:val="000000"/>
        </w:rPr>
      </w:pPr>
      <w:r w:rsidRPr="00B0248C">
        <w:rPr>
          <w:rFonts w:ascii="inherit" w:hAnsi="inherit"/>
          <w:b/>
          <w:bCs/>
          <w:color w:val="000000"/>
          <w:bdr w:val="none" w:sz="0" w:space="0" w:color="auto" w:frame="1"/>
        </w:rPr>
        <w:t>Operating system(s):</w:t>
      </w:r>
      <w:r>
        <w:rPr>
          <w:rFonts w:ascii="inherit" w:hAnsi="inherit"/>
          <w:color w:val="000000"/>
        </w:rPr>
        <w:t> </w:t>
      </w:r>
      <w:r w:rsidRPr="00B0248C">
        <w:rPr>
          <w:rFonts w:ascii="inherit" w:hAnsi="inherit"/>
          <w:color w:val="000000"/>
        </w:rPr>
        <w:t>Platform independent</w:t>
      </w:r>
    </w:p>
    <w:p w14:paraId="6189975E" w14:textId="77777777" w:rsidR="00103C65" w:rsidRPr="00B0248C" w:rsidRDefault="00103C65" w:rsidP="008C30B0">
      <w:pPr>
        <w:ind w:right="480"/>
        <w:textAlignment w:val="baseline"/>
        <w:rPr>
          <w:rFonts w:ascii="inherit" w:hAnsi="inherit" w:hint="eastAsia"/>
          <w:color w:val="000000"/>
        </w:rPr>
      </w:pPr>
      <w:r w:rsidRPr="00B0248C">
        <w:rPr>
          <w:rFonts w:ascii="inherit" w:hAnsi="inherit"/>
          <w:b/>
          <w:bCs/>
          <w:color w:val="000000"/>
          <w:bdr w:val="none" w:sz="0" w:space="0" w:color="auto" w:frame="1"/>
        </w:rPr>
        <w:t>Programming language:</w:t>
      </w:r>
      <w:r w:rsidRPr="00B0248C">
        <w:rPr>
          <w:rFonts w:ascii="inherit" w:hAnsi="inherit"/>
          <w:color w:val="000000"/>
        </w:rPr>
        <w:t> </w:t>
      </w:r>
      <w:r>
        <w:rPr>
          <w:rFonts w:ascii="inherit" w:hAnsi="inherit"/>
          <w:color w:val="000000"/>
        </w:rPr>
        <w:t>Julia</w:t>
      </w:r>
    </w:p>
    <w:p w14:paraId="7680C8E3" w14:textId="77777777" w:rsidR="00103C65" w:rsidRPr="00B0248C" w:rsidRDefault="00103C65" w:rsidP="008C30B0">
      <w:pPr>
        <w:ind w:right="480"/>
        <w:textAlignment w:val="baseline"/>
        <w:rPr>
          <w:rFonts w:ascii="inherit" w:hAnsi="inherit" w:hint="eastAsia"/>
          <w:color w:val="000000"/>
        </w:rPr>
      </w:pPr>
      <w:r w:rsidRPr="00B0248C">
        <w:rPr>
          <w:rFonts w:ascii="inherit" w:hAnsi="inherit"/>
          <w:b/>
          <w:bCs/>
          <w:color w:val="000000"/>
          <w:bdr w:val="none" w:sz="0" w:space="0" w:color="auto" w:frame="1"/>
        </w:rPr>
        <w:t>Other requirements:</w:t>
      </w:r>
      <w:r w:rsidRPr="00B0248C">
        <w:rPr>
          <w:rFonts w:ascii="inherit" w:hAnsi="inherit"/>
          <w:color w:val="000000"/>
        </w:rPr>
        <w:t> </w:t>
      </w:r>
      <w:r>
        <w:rPr>
          <w:rFonts w:ascii="inherit" w:hAnsi="inherit"/>
          <w:color w:val="000000"/>
        </w:rPr>
        <w:t>Python and matplotlib (for graphing)</w:t>
      </w:r>
    </w:p>
    <w:p w14:paraId="45A7A134" w14:textId="77777777" w:rsidR="00103C65" w:rsidRPr="00B0248C" w:rsidRDefault="00103C65" w:rsidP="008C30B0">
      <w:pPr>
        <w:ind w:right="480"/>
        <w:textAlignment w:val="baseline"/>
        <w:rPr>
          <w:rFonts w:ascii="inherit" w:hAnsi="inherit" w:hint="eastAsia"/>
          <w:color w:val="000000"/>
        </w:rPr>
      </w:pPr>
      <w:r w:rsidRPr="00B0248C">
        <w:rPr>
          <w:rFonts w:ascii="inherit" w:hAnsi="inherit"/>
          <w:b/>
          <w:bCs/>
          <w:color w:val="000000"/>
          <w:bdr w:val="none" w:sz="0" w:space="0" w:color="auto" w:frame="1"/>
        </w:rPr>
        <w:t>License:</w:t>
      </w:r>
      <w:r w:rsidRPr="00B0248C">
        <w:rPr>
          <w:rFonts w:ascii="inherit" w:hAnsi="inherit"/>
          <w:color w:val="000000"/>
        </w:rPr>
        <w:t> </w:t>
      </w:r>
      <w:r>
        <w:rPr>
          <w:rFonts w:ascii="inherit" w:hAnsi="inherit"/>
          <w:color w:val="000000"/>
        </w:rPr>
        <w:t>MIT</w:t>
      </w:r>
    </w:p>
    <w:p w14:paraId="137AD49C" w14:textId="21755507" w:rsidR="00103C65" w:rsidRPr="00206A4A" w:rsidRDefault="00103C65" w:rsidP="00206A4A">
      <w:pPr>
        <w:ind w:right="480"/>
        <w:textAlignment w:val="baseline"/>
        <w:rPr>
          <w:rFonts w:ascii="inherit" w:hAnsi="inherit"/>
          <w:color w:val="000000"/>
        </w:rPr>
      </w:pPr>
      <w:r w:rsidRPr="00B0248C">
        <w:rPr>
          <w:rFonts w:ascii="inherit" w:hAnsi="inherit"/>
          <w:b/>
          <w:bCs/>
          <w:color w:val="000000"/>
          <w:bdr w:val="none" w:sz="0" w:space="0" w:color="auto" w:frame="1"/>
        </w:rPr>
        <w:t>Any restrictions to use by non-academics:</w:t>
      </w:r>
      <w:r w:rsidRPr="00B0248C">
        <w:rPr>
          <w:rFonts w:ascii="inherit" w:hAnsi="inherit"/>
          <w:color w:val="000000"/>
        </w:rPr>
        <w:t> </w:t>
      </w:r>
      <w:r>
        <w:rPr>
          <w:rFonts w:ascii="inherit" w:hAnsi="inherit"/>
          <w:color w:val="000000"/>
        </w:rPr>
        <w:t>No</w:t>
      </w:r>
      <w:bookmarkStart w:id="0" w:name="_GoBack"/>
      <w:bookmarkEnd w:id="0"/>
    </w:p>
    <w:p w14:paraId="6A3B17B2" w14:textId="77777777" w:rsidR="00103C65" w:rsidRPr="00B0248C" w:rsidRDefault="00103C65" w:rsidP="008C30B0">
      <w:pPr>
        <w:pStyle w:val="Heading1"/>
        <w:spacing w:before="360" w:line="480" w:lineRule="auto"/>
      </w:pPr>
      <w:r w:rsidRPr="00B0248C">
        <w:t>List of abbreviations</w:t>
      </w:r>
    </w:p>
    <w:p w14:paraId="7808FC40" w14:textId="77777777" w:rsidR="00103C65" w:rsidRPr="00B0248C" w:rsidRDefault="00103C65" w:rsidP="008C30B0">
      <w:pPr>
        <w:spacing w:line="480" w:lineRule="auto"/>
      </w:pPr>
      <w:r>
        <w:t>Convergent cross mapping (CCM), State space reconstruction (SSR)</w:t>
      </w:r>
    </w:p>
    <w:p w14:paraId="0BC2155F" w14:textId="77777777" w:rsidR="00103C65" w:rsidRDefault="00103C65" w:rsidP="008C30B0">
      <w:pPr>
        <w:pStyle w:val="Heading1"/>
        <w:spacing w:before="360" w:line="480" w:lineRule="auto"/>
      </w:pPr>
      <w:r w:rsidRPr="00B0248C">
        <w:t>Competing interests</w:t>
      </w:r>
    </w:p>
    <w:p w14:paraId="2FBA8334" w14:textId="77777777" w:rsidR="00103C65" w:rsidRPr="00CD611F" w:rsidRDefault="00103C65" w:rsidP="008C30B0">
      <w:pPr>
        <w:spacing w:line="480" w:lineRule="auto"/>
      </w:pPr>
      <w:r w:rsidRPr="00CD611F">
        <w:t>The authors had no competing interest to declare.</w:t>
      </w:r>
    </w:p>
    <w:p w14:paraId="21482361" w14:textId="77777777" w:rsidR="00103C65" w:rsidRDefault="00103C65" w:rsidP="008C30B0">
      <w:pPr>
        <w:pStyle w:val="Heading1"/>
        <w:spacing w:before="360" w:line="480" w:lineRule="auto"/>
      </w:pPr>
      <w:r w:rsidRPr="00B0248C">
        <w:t>Author’s contributions</w:t>
      </w:r>
    </w:p>
    <w:p w14:paraId="678210A2" w14:textId="77777777" w:rsidR="00103C65" w:rsidRPr="00CD611F" w:rsidRDefault="00103C65" w:rsidP="008C30B0">
      <w:pPr>
        <w:spacing w:line="480" w:lineRule="auto"/>
        <w:rPr>
          <w:b/>
        </w:rPr>
      </w:pPr>
      <w:r w:rsidRPr="00CD611F">
        <w:t>MCM and RDH conceived the project and drafted the manuscript. MCM implemented the algorithm and built the project website.</w:t>
      </w:r>
    </w:p>
    <w:p w14:paraId="03C5133D" w14:textId="77777777" w:rsidR="00103C65" w:rsidRDefault="00103C65" w:rsidP="008C30B0">
      <w:pPr>
        <w:pStyle w:val="Heading1"/>
        <w:spacing w:before="360" w:line="480" w:lineRule="auto"/>
      </w:pPr>
      <w:r w:rsidRPr="00B0248C">
        <w:t>Author’s Information</w:t>
      </w:r>
    </w:p>
    <w:p w14:paraId="3A7FAC5B" w14:textId="77777777" w:rsidR="00103C65" w:rsidRPr="001E0B0F" w:rsidRDefault="00103C65" w:rsidP="008C30B0">
      <w:pPr>
        <w:spacing w:line="480" w:lineRule="auto"/>
        <w:rPr>
          <w:rFonts w:ascii="Times New Roman" w:hAnsi="Times New Roman"/>
        </w:rPr>
      </w:pPr>
      <w:r>
        <w:rPr>
          <w:rFonts w:ascii="Times New Roman" w:hAnsi="Times New Roman"/>
        </w:rPr>
        <w:t>M. C. M. is</w:t>
      </w:r>
      <w:r w:rsidRPr="0059278F">
        <w:rPr>
          <w:rFonts w:ascii="Times New Roman" w:hAnsi="Times New Roman"/>
        </w:rPr>
        <w:t xml:space="preserve"> a University of California, San Francisco (UCSF) graduate student with an emphasis in statistical computing. </w:t>
      </w:r>
      <w:r>
        <w:rPr>
          <w:rFonts w:ascii="Times New Roman" w:hAnsi="Times New Roman"/>
        </w:rPr>
        <w:t xml:space="preserve">After graduation, he will be working as a Software Engineer for Human Longevity Inc., a San Diego-based biotechnology startup. </w:t>
      </w:r>
      <w:r w:rsidRPr="0059278F">
        <w:rPr>
          <w:rFonts w:ascii="Times New Roman" w:hAnsi="Times New Roman"/>
        </w:rPr>
        <w:t xml:space="preserve">R. D. H. is a Bioengineering &amp; Therapeutics Sciences professor at UCSF. He is </w:t>
      </w:r>
      <w:r>
        <w:rPr>
          <w:rFonts w:ascii="Times New Roman" w:hAnsi="Times New Roman"/>
        </w:rPr>
        <w:t xml:space="preserve">also </w:t>
      </w:r>
      <w:r w:rsidRPr="0059278F">
        <w:rPr>
          <w:rFonts w:ascii="Times New Roman" w:hAnsi="Times New Roman"/>
        </w:rPr>
        <w:t xml:space="preserve">the author of SFS_CODE </w:t>
      </w:r>
      <w:r>
        <w:rPr>
          <w:rFonts w:ascii="Times New Roman" w:hAnsi="Times New Roman"/>
        </w:rPr>
        <w:t>a popular program for flexible</w:t>
      </w:r>
      <w:r w:rsidRPr="0059278F">
        <w:rPr>
          <w:rFonts w:ascii="Times New Roman" w:hAnsi="Times New Roman"/>
        </w:rPr>
        <w:t xml:space="preserve"> </w:t>
      </w:r>
      <w:r>
        <w:rPr>
          <w:rFonts w:ascii="Times New Roman" w:hAnsi="Times New Roman"/>
        </w:rPr>
        <w:t>simulation of</w:t>
      </w:r>
      <w:r w:rsidRPr="0059278F">
        <w:rPr>
          <w:rFonts w:ascii="Times New Roman" w:hAnsi="Times New Roman"/>
        </w:rPr>
        <w:t xml:space="preserve"> population genetic evolution. </w:t>
      </w:r>
    </w:p>
    <w:p w14:paraId="4F03E471" w14:textId="234B2701" w:rsidR="00103C65" w:rsidRDefault="00861597" w:rsidP="008C30B0">
      <w:pPr>
        <w:pStyle w:val="Heading1"/>
        <w:spacing w:line="480" w:lineRule="auto"/>
      </w:pPr>
      <w:r>
        <w:t>A</w:t>
      </w:r>
      <w:r w:rsidR="00103C65" w:rsidRPr="00594B88">
        <w:t>cknowledgements</w:t>
      </w:r>
    </w:p>
    <w:p w14:paraId="635FA488" w14:textId="77777777" w:rsidR="00103C65" w:rsidRPr="001069D8" w:rsidRDefault="00103C65" w:rsidP="008C30B0">
      <w:pPr>
        <w:pStyle w:val="AckText"/>
        <w:spacing w:line="480" w:lineRule="auto"/>
        <w:rPr>
          <w:sz w:val="24"/>
          <w:szCs w:val="24"/>
        </w:rPr>
      </w:pPr>
      <w:r w:rsidRPr="006E707C">
        <w:rPr>
          <w:sz w:val="24"/>
          <w:szCs w:val="24"/>
        </w:rPr>
        <w:t>We would like to thank George Sugihara, Hao Ye, and Ethan Deyle for their invaluable help in understanding the core details of the CCM algorithm, and Lawrence Uricchio, Nicolas Strauli, and Raul Torres for comments on this manuscript.</w:t>
      </w:r>
      <w:r>
        <w:br w:type="page"/>
      </w:r>
    </w:p>
    <w:p w14:paraId="6737DB4F" w14:textId="77777777" w:rsidR="00103C65" w:rsidRDefault="00103C65" w:rsidP="008C30B0">
      <w:pPr>
        <w:pStyle w:val="RefHead"/>
        <w:rPr>
          <w:szCs w:val="24"/>
        </w:rPr>
      </w:pPr>
      <w:r w:rsidRPr="006E707C">
        <w:rPr>
          <w:szCs w:val="24"/>
        </w:rPr>
        <w:t>References</w:t>
      </w:r>
    </w:p>
    <w:p w14:paraId="64E540BC" w14:textId="77777777" w:rsidR="00103C65" w:rsidRPr="006E707C" w:rsidRDefault="00103C65" w:rsidP="008C30B0">
      <w:pPr>
        <w:pStyle w:val="RefHead"/>
        <w:rPr>
          <w:szCs w:val="24"/>
        </w:rPr>
      </w:pPr>
    </w:p>
    <w:p w14:paraId="49F160BC" w14:textId="77777777" w:rsidR="00103C65" w:rsidRPr="00386113" w:rsidRDefault="00103C65" w:rsidP="008C30B0">
      <w:pPr>
        <w:pStyle w:val="NormalWeb"/>
        <w:ind w:left="480" w:hanging="480"/>
        <w:rPr>
          <w:noProof/>
        </w:rPr>
      </w:pPr>
      <w:r w:rsidRPr="006E707C">
        <w:fldChar w:fldCharType="begin" w:fldLock="1"/>
      </w:r>
      <w:r w:rsidRPr="006E707C">
        <w:instrText xml:space="preserve">ADDIN Mendeley Bibliography CSL_BIBLIOGRAPHY </w:instrText>
      </w:r>
      <w:r w:rsidRPr="006E707C">
        <w:fldChar w:fldCharType="separate"/>
      </w:r>
      <w:r w:rsidRPr="00386113">
        <w:rPr>
          <w:noProof/>
        </w:rPr>
        <w:t xml:space="preserve">Arrieta M-C, Stiemsma LT, Amenyogbe N, Brown EM, Finlay B. 2014. The Intestinal Microbiome in Early Life: Health and Disease. </w:t>
      </w:r>
      <w:r w:rsidRPr="00386113">
        <w:rPr>
          <w:i/>
          <w:iCs/>
          <w:noProof/>
        </w:rPr>
        <w:t>Frontiers in Immunology</w:t>
      </w:r>
      <w:r w:rsidRPr="00386113">
        <w:rPr>
          <w:noProof/>
        </w:rPr>
        <w:t xml:space="preserve"> 5:427.</w:t>
      </w:r>
    </w:p>
    <w:p w14:paraId="4C18F07A" w14:textId="77777777" w:rsidR="00103C65" w:rsidRPr="00386113" w:rsidRDefault="00103C65" w:rsidP="008C30B0">
      <w:pPr>
        <w:pStyle w:val="NormalWeb"/>
        <w:ind w:left="480" w:hanging="480"/>
        <w:rPr>
          <w:noProof/>
        </w:rPr>
      </w:pPr>
      <w:r w:rsidRPr="00386113">
        <w:rPr>
          <w:noProof/>
        </w:rPr>
        <w:t xml:space="preserve">Bertsekas D. 1999. </w:t>
      </w:r>
      <w:r w:rsidRPr="00386113">
        <w:rPr>
          <w:i/>
          <w:iCs/>
          <w:noProof/>
        </w:rPr>
        <w:t>Nonlinear Programming</w:t>
      </w:r>
      <w:r w:rsidRPr="00386113">
        <w:rPr>
          <w:noProof/>
        </w:rPr>
        <w:t>. Athena Scientific; 2nd edition.</w:t>
      </w:r>
    </w:p>
    <w:p w14:paraId="73CE4C89" w14:textId="77777777" w:rsidR="00103C65" w:rsidRPr="00386113" w:rsidRDefault="00103C65" w:rsidP="008C30B0">
      <w:pPr>
        <w:pStyle w:val="NormalWeb"/>
        <w:ind w:left="480" w:hanging="480"/>
        <w:rPr>
          <w:noProof/>
        </w:rPr>
      </w:pPr>
      <w:r w:rsidRPr="00386113">
        <w:rPr>
          <w:noProof/>
        </w:rPr>
        <w:t>Bezanson J, Karpinski S, Shah VB, Edelman A. 2012. Julia: A Fast Dynamic Language for Technical Computing.</w:t>
      </w:r>
    </w:p>
    <w:p w14:paraId="4C5B2A44" w14:textId="77777777" w:rsidR="00103C65" w:rsidRPr="00386113" w:rsidRDefault="00103C65" w:rsidP="008C30B0">
      <w:pPr>
        <w:pStyle w:val="NormalWeb"/>
        <w:ind w:left="480" w:hanging="480"/>
        <w:rPr>
          <w:noProof/>
        </w:rPr>
      </w:pPr>
      <w:r w:rsidRPr="00386113">
        <w:rPr>
          <w:noProof/>
        </w:rPr>
        <w:t xml:space="preserve">Bowden RJ, Turkington DA. 1990. </w:t>
      </w:r>
      <w:r w:rsidRPr="00386113">
        <w:rPr>
          <w:i/>
          <w:iCs/>
          <w:noProof/>
        </w:rPr>
        <w:t>Instrumental Variables</w:t>
      </w:r>
      <w:r w:rsidRPr="00386113">
        <w:rPr>
          <w:noProof/>
        </w:rPr>
        <w:t>. Cambridge University Press.</w:t>
      </w:r>
    </w:p>
    <w:p w14:paraId="60714E57" w14:textId="77777777" w:rsidR="00103C65" w:rsidRPr="00386113" w:rsidRDefault="00103C65" w:rsidP="008C30B0">
      <w:pPr>
        <w:pStyle w:val="NormalWeb"/>
        <w:ind w:left="480" w:hanging="480"/>
        <w:rPr>
          <w:noProof/>
        </w:rPr>
      </w:pPr>
      <w:r w:rsidRPr="00386113">
        <w:rPr>
          <w:noProof/>
        </w:rPr>
        <w:t xml:space="preserve">Caporaso JG, Lauber CL, Costello EK, Berg-Lyons D, Gonzalez A, Stombaugh J, Knights D, Gajer P, Ravel J, Fierer N et al. 2011. Moving pictures of the human microbiome. </w:t>
      </w:r>
      <w:r w:rsidRPr="00386113">
        <w:rPr>
          <w:i/>
          <w:iCs/>
          <w:noProof/>
        </w:rPr>
        <w:t>Genome biology</w:t>
      </w:r>
      <w:r w:rsidRPr="00386113">
        <w:rPr>
          <w:noProof/>
        </w:rPr>
        <w:t xml:space="preserve"> 12:R50.</w:t>
      </w:r>
    </w:p>
    <w:p w14:paraId="75D73F10" w14:textId="77777777" w:rsidR="00103C65" w:rsidRPr="00386113" w:rsidRDefault="00103C65" w:rsidP="008C30B0">
      <w:pPr>
        <w:pStyle w:val="NormalWeb"/>
        <w:ind w:left="480" w:hanging="480"/>
        <w:rPr>
          <w:noProof/>
        </w:rPr>
      </w:pPr>
      <w:r w:rsidRPr="00386113">
        <w:rPr>
          <w:noProof/>
        </w:rPr>
        <w:t xml:space="preserve">Deyle ER, Fogarty M, Hsieh C, Kaufman L, MacCall AD, Munch SB, Perretti CT, Ye H, Sugihara G. 2013. Predicting climate effects on Pacific sardine. </w:t>
      </w:r>
      <w:r w:rsidRPr="00386113">
        <w:rPr>
          <w:i/>
          <w:iCs/>
          <w:noProof/>
        </w:rPr>
        <w:t>Proceedings of the National Academy of Sciences of the United States of America</w:t>
      </w:r>
      <w:r w:rsidRPr="00386113">
        <w:rPr>
          <w:noProof/>
        </w:rPr>
        <w:t xml:space="preserve"> 110:6430–5.</w:t>
      </w:r>
    </w:p>
    <w:p w14:paraId="5D9B3263" w14:textId="77777777" w:rsidR="00103C65" w:rsidRPr="00386113" w:rsidRDefault="00103C65" w:rsidP="008C30B0">
      <w:pPr>
        <w:pStyle w:val="NormalWeb"/>
        <w:ind w:left="480" w:hanging="480"/>
        <w:rPr>
          <w:noProof/>
        </w:rPr>
      </w:pPr>
      <w:r w:rsidRPr="00386113">
        <w:rPr>
          <w:noProof/>
        </w:rPr>
        <w:t xml:space="preserve">Dixon PA, Milicich MJ, Sugihara G. 1999. Episodic Fluctuations in Larval Supply. </w:t>
      </w:r>
      <w:r w:rsidRPr="00386113">
        <w:rPr>
          <w:i/>
          <w:iCs/>
          <w:noProof/>
        </w:rPr>
        <w:t>Science</w:t>
      </w:r>
      <w:r w:rsidRPr="00386113">
        <w:rPr>
          <w:noProof/>
        </w:rPr>
        <w:t xml:space="preserve"> 283:1528–1530.</w:t>
      </w:r>
    </w:p>
    <w:p w14:paraId="25E8D742" w14:textId="77777777" w:rsidR="00103C65" w:rsidRPr="00386113" w:rsidRDefault="00103C65" w:rsidP="008C30B0">
      <w:pPr>
        <w:pStyle w:val="NormalWeb"/>
        <w:ind w:left="480" w:hanging="480"/>
        <w:rPr>
          <w:noProof/>
        </w:rPr>
      </w:pPr>
      <w:r w:rsidRPr="00386113">
        <w:rPr>
          <w:noProof/>
        </w:rPr>
        <w:t>Fisher CK, Mehta P. 2014. Identifying Keystone Species in the Human Gut Microbiome from Metagenomic Timeseries using Sparse Linear Regression.</w:t>
      </w:r>
    </w:p>
    <w:p w14:paraId="7096C9E7" w14:textId="77777777" w:rsidR="00103C65" w:rsidRPr="00386113" w:rsidRDefault="00103C65" w:rsidP="008C30B0">
      <w:pPr>
        <w:pStyle w:val="NormalWeb"/>
        <w:ind w:left="480" w:hanging="480"/>
        <w:rPr>
          <w:noProof/>
        </w:rPr>
      </w:pPr>
      <w:r w:rsidRPr="00386113">
        <w:rPr>
          <w:noProof/>
        </w:rPr>
        <w:t xml:space="preserve">Foster JA, McVey Neufeld K-A. 2013. Gut-brain axis: how the microbiome influences anxiety and depression. </w:t>
      </w:r>
      <w:r w:rsidRPr="00386113">
        <w:rPr>
          <w:i/>
          <w:iCs/>
          <w:noProof/>
        </w:rPr>
        <w:t>Trends in neurosciences</w:t>
      </w:r>
      <w:r w:rsidRPr="00386113">
        <w:rPr>
          <w:noProof/>
        </w:rPr>
        <w:t xml:space="preserve"> 36:305–12.</w:t>
      </w:r>
    </w:p>
    <w:p w14:paraId="63CC9555" w14:textId="77777777" w:rsidR="00103C65" w:rsidRPr="00386113" w:rsidRDefault="00103C65" w:rsidP="008C30B0">
      <w:pPr>
        <w:pStyle w:val="NormalWeb"/>
        <w:ind w:left="480" w:hanging="480"/>
        <w:rPr>
          <w:noProof/>
        </w:rPr>
      </w:pPr>
      <w:r w:rsidRPr="00386113">
        <w:rPr>
          <w:noProof/>
        </w:rPr>
        <w:t xml:space="preserve">Gajer P, Brotman RM, Bai G, Sakamoto J, Schütte UME, Zhong X, Koenig SSK, Fu L, Ma ZS, Zhou X et al. 2012. Temporal dynamics of the human vaginal microbiota. </w:t>
      </w:r>
      <w:r w:rsidRPr="00386113">
        <w:rPr>
          <w:i/>
          <w:iCs/>
          <w:noProof/>
        </w:rPr>
        <w:t>Science translational medicine</w:t>
      </w:r>
      <w:r w:rsidRPr="00386113">
        <w:rPr>
          <w:noProof/>
        </w:rPr>
        <w:t xml:space="preserve"> 4:132ra52.</w:t>
      </w:r>
    </w:p>
    <w:p w14:paraId="3A89C5CE" w14:textId="77777777" w:rsidR="00103C65" w:rsidRPr="00386113" w:rsidRDefault="00103C65" w:rsidP="008C30B0">
      <w:pPr>
        <w:pStyle w:val="NormalWeb"/>
        <w:ind w:left="480" w:hanging="480"/>
        <w:rPr>
          <w:noProof/>
        </w:rPr>
      </w:pPr>
      <w:r w:rsidRPr="00386113">
        <w:rPr>
          <w:noProof/>
        </w:rPr>
        <w:t xml:space="preserve">Granger CWJ. 1969. Investigating Causal Relations by Econometric Models and Cross-spectral Methods Title. </w:t>
      </w:r>
      <w:r w:rsidRPr="00386113">
        <w:rPr>
          <w:i/>
          <w:iCs/>
          <w:noProof/>
        </w:rPr>
        <w:t>Econometrica</w:t>
      </w:r>
      <w:r w:rsidRPr="00386113">
        <w:rPr>
          <w:noProof/>
        </w:rPr>
        <w:t xml:space="preserve"> 37:424–438.</w:t>
      </w:r>
    </w:p>
    <w:p w14:paraId="52764734" w14:textId="77777777" w:rsidR="00103C65" w:rsidRPr="00386113" w:rsidRDefault="00103C65" w:rsidP="008C30B0">
      <w:pPr>
        <w:pStyle w:val="NormalWeb"/>
        <w:ind w:left="480" w:hanging="480"/>
        <w:rPr>
          <w:noProof/>
        </w:rPr>
      </w:pPr>
      <w:r w:rsidRPr="00386113">
        <w:rPr>
          <w:noProof/>
        </w:rPr>
        <w:t xml:space="preserve">Heskamp L, Meel-van den Abeelen A, Katsogridakis E, Panerai R, Simpson D, Lagro J, Claassen J. 2013. Convergent cross mapping: a promising technique for future cerebral autoregulation estimation. </w:t>
      </w:r>
      <w:r w:rsidRPr="00386113">
        <w:rPr>
          <w:i/>
          <w:iCs/>
          <w:noProof/>
        </w:rPr>
        <w:t>CEREBROVASCULAR DISEASES</w:t>
      </w:r>
      <w:r w:rsidRPr="00386113">
        <w:rPr>
          <w:noProof/>
        </w:rPr>
        <w:t xml:space="preserve"> 35:15–16.</w:t>
      </w:r>
    </w:p>
    <w:p w14:paraId="1E9667CA" w14:textId="77777777" w:rsidR="00103C65" w:rsidRPr="00386113" w:rsidRDefault="00103C65" w:rsidP="008C30B0">
      <w:pPr>
        <w:pStyle w:val="NormalWeb"/>
        <w:ind w:left="480" w:hanging="480"/>
        <w:rPr>
          <w:noProof/>
        </w:rPr>
      </w:pPr>
      <w:r w:rsidRPr="00386113">
        <w:rPr>
          <w:noProof/>
        </w:rPr>
        <w:t xml:space="preserve">Khoruts A, Weingarden AR. 2014. Emergence of fecal microbiota transplantation as an approach to repair disrupted microbial gut ecology. </w:t>
      </w:r>
      <w:r w:rsidRPr="00386113">
        <w:rPr>
          <w:i/>
          <w:iCs/>
          <w:noProof/>
        </w:rPr>
        <w:t>Immunology letters</w:t>
      </w:r>
      <w:r w:rsidRPr="00386113">
        <w:rPr>
          <w:noProof/>
        </w:rPr>
        <w:t>.</w:t>
      </w:r>
    </w:p>
    <w:p w14:paraId="0B187851" w14:textId="77777777" w:rsidR="00103C65" w:rsidRPr="00386113" w:rsidRDefault="00103C65" w:rsidP="008C30B0">
      <w:pPr>
        <w:pStyle w:val="NormalWeb"/>
        <w:ind w:left="480" w:hanging="480"/>
        <w:rPr>
          <w:noProof/>
        </w:rPr>
      </w:pPr>
      <w:r w:rsidRPr="00386113">
        <w:rPr>
          <w:noProof/>
        </w:rPr>
        <w:t xml:space="preserve">Reshef DN, Reshef YA, Finucane HK, Grossman SR, McVean G, Turnbaugh PJ, Lander ES, Mitzenmacher M, Sabeti PC. 2011. Detecting novel associations in large data sets. </w:t>
      </w:r>
      <w:r w:rsidRPr="00386113">
        <w:rPr>
          <w:i/>
          <w:iCs/>
          <w:noProof/>
        </w:rPr>
        <w:t>Science (New York, N.Y.)</w:t>
      </w:r>
      <w:r w:rsidRPr="00386113">
        <w:rPr>
          <w:noProof/>
        </w:rPr>
        <w:t xml:space="preserve"> 334:1518–24.</w:t>
      </w:r>
    </w:p>
    <w:p w14:paraId="44CC7D4A" w14:textId="77777777" w:rsidR="00103C65" w:rsidRPr="00386113" w:rsidRDefault="00103C65" w:rsidP="008C30B0">
      <w:pPr>
        <w:pStyle w:val="NormalWeb"/>
        <w:ind w:left="480" w:hanging="480"/>
        <w:rPr>
          <w:noProof/>
        </w:rPr>
      </w:pPr>
      <w:r w:rsidRPr="00386113">
        <w:rPr>
          <w:noProof/>
        </w:rPr>
        <w:t xml:space="preserve">Spearman C. 1904. The proof and measurement of association between two things. </w:t>
      </w:r>
      <w:r w:rsidRPr="00386113">
        <w:rPr>
          <w:i/>
          <w:iCs/>
          <w:noProof/>
        </w:rPr>
        <w:t>American Journal of Psychology</w:t>
      </w:r>
      <w:r w:rsidRPr="00386113">
        <w:rPr>
          <w:noProof/>
        </w:rPr>
        <w:t xml:space="preserve"> 15:72–101.</w:t>
      </w:r>
    </w:p>
    <w:p w14:paraId="73EF4CC2" w14:textId="77777777" w:rsidR="00103C65" w:rsidRPr="00386113" w:rsidRDefault="00103C65" w:rsidP="008C30B0">
      <w:pPr>
        <w:pStyle w:val="NormalWeb"/>
        <w:ind w:left="480" w:hanging="480"/>
        <w:rPr>
          <w:noProof/>
        </w:rPr>
      </w:pPr>
      <w:r w:rsidRPr="00386113">
        <w:rPr>
          <w:noProof/>
        </w:rPr>
        <w:t xml:space="preserve">Sugihara G. 1994. Nonlinear Forecasting for the Classification of Natural Time Series. </w:t>
      </w:r>
      <w:r w:rsidRPr="00386113">
        <w:rPr>
          <w:i/>
          <w:iCs/>
          <w:noProof/>
        </w:rPr>
        <w:t>Philosophical Transactions of the Royal Society A: Mathematical, Physical and Engineering Sciences</w:t>
      </w:r>
      <w:r w:rsidRPr="00386113">
        <w:rPr>
          <w:noProof/>
        </w:rPr>
        <w:t xml:space="preserve"> 348:477–495.</w:t>
      </w:r>
    </w:p>
    <w:p w14:paraId="3E609641" w14:textId="77777777" w:rsidR="00103C65" w:rsidRPr="00386113" w:rsidRDefault="00103C65" w:rsidP="008C30B0">
      <w:pPr>
        <w:pStyle w:val="NormalWeb"/>
        <w:ind w:left="480" w:hanging="480"/>
        <w:rPr>
          <w:noProof/>
        </w:rPr>
      </w:pPr>
      <w:r w:rsidRPr="00386113">
        <w:rPr>
          <w:noProof/>
        </w:rPr>
        <w:t xml:space="preserve">Sugihara G, May R, Ye H, Hsieh C, Deyle E, Fogarty M, Munch S. 2012. Detecting causality in complex ecosystems. </w:t>
      </w:r>
      <w:r w:rsidRPr="00386113">
        <w:rPr>
          <w:i/>
          <w:iCs/>
          <w:noProof/>
        </w:rPr>
        <w:t>Science (New York, N.Y.)</w:t>
      </w:r>
      <w:r w:rsidRPr="00386113">
        <w:rPr>
          <w:noProof/>
        </w:rPr>
        <w:t xml:space="preserve"> 338:496–500.</w:t>
      </w:r>
    </w:p>
    <w:p w14:paraId="1A71051F" w14:textId="77777777" w:rsidR="00103C65" w:rsidRPr="00386113" w:rsidRDefault="00103C65" w:rsidP="008C30B0">
      <w:pPr>
        <w:pStyle w:val="NormalWeb"/>
        <w:ind w:left="480" w:hanging="480"/>
        <w:rPr>
          <w:noProof/>
        </w:rPr>
      </w:pPr>
      <w:r w:rsidRPr="00386113">
        <w:rPr>
          <w:noProof/>
        </w:rPr>
        <w:t xml:space="preserve">Székely GJ, Rizzo ML, Bakirov NK. 2007. Measuring and Testing Dependence by Correlation of Distances. </w:t>
      </w:r>
      <w:r w:rsidRPr="00386113">
        <w:rPr>
          <w:i/>
          <w:iCs/>
          <w:noProof/>
        </w:rPr>
        <w:t>The Annals of Statistics</w:t>
      </w:r>
      <w:r w:rsidRPr="00386113">
        <w:rPr>
          <w:noProof/>
        </w:rPr>
        <w:t xml:space="preserve"> 35:2769–2794.</w:t>
      </w:r>
    </w:p>
    <w:p w14:paraId="7CDE3101" w14:textId="77777777" w:rsidR="00103C65" w:rsidRPr="00386113" w:rsidRDefault="00103C65" w:rsidP="008C30B0">
      <w:pPr>
        <w:pStyle w:val="NormalWeb"/>
        <w:ind w:left="480" w:hanging="480"/>
        <w:rPr>
          <w:noProof/>
        </w:rPr>
      </w:pPr>
      <w:r w:rsidRPr="00386113">
        <w:rPr>
          <w:noProof/>
        </w:rPr>
        <w:t xml:space="preserve">Vanderweele TJ, Arah OA. 2011. Bias formulas for sensitivity analysis of unmeasured confounding for general outcomes, treatments, and confounders. </w:t>
      </w:r>
      <w:r w:rsidRPr="00386113">
        <w:rPr>
          <w:i/>
          <w:iCs/>
          <w:noProof/>
        </w:rPr>
        <w:t>Epidemiology (Cambridge, Mass.)</w:t>
      </w:r>
      <w:r w:rsidRPr="00386113">
        <w:rPr>
          <w:noProof/>
        </w:rPr>
        <w:t xml:space="preserve"> 22:42–52.</w:t>
      </w:r>
    </w:p>
    <w:p w14:paraId="730ADCC9" w14:textId="77777777" w:rsidR="00103C65" w:rsidRPr="00386113" w:rsidRDefault="00103C65" w:rsidP="008C30B0">
      <w:pPr>
        <w:pStyle w:val="NormalWeb"/>
        <w:ind w:left="480" w:hanging="480"/>
        <w:rPr>
          <w:noProof/>
        </w:rPr>
      </w:pPr>
      <w:r w:rsidRPr="00386113">
        <w:rPr>
          <w:noProof/>
        </w:rPr>
        <w:t xml:space="preserve">Vujkovic-Cvijin I, Dunham RM, Iwai S, Maher MC, Albright RG, Broadhurst MJ, Hernandez RD, Lederman MM, Huang Y, Somsouk M et al. 2013. Dysbiosis of the gut microbiota is associated with HIV disease progression and tryptophan catabolism. </w:t>
      </w:r>
      <w:r w:rsidRPr="00386113">
        <w:rPr>
          <w:i/>
          <w:iCs/>
          <w:noProof/>
        </w:rPr>
        <w:t>Science translational medicine</w:t>
      </w:r>
      <w:r w:rsidRPr="00386113">
        <w:rPr>
          <w:noProof/>
        </w:rPr>
        <w:t xml:space="preserve"> 5:193ra91.</w:t>
      </w:r>
    </w:p>
    <w:p w14:paraId="02C4FABE" w14:textId="77777777" w:rsidR="00103C65" w:rsidRPr="00386113" w:rsidRDefault="00103C65" w:rsidP="008C30B0">
      <w:pPr>
        <w:pStyle w:val="NormalWeb"/>
        <w:ind w:left="480" w:hanging="480"/>
        <w:rPr>
          <w:noProof/>
        </w:rPr>
      </w:pPr>
      <w:r w:rsidRPr="00386113">
        <w:rPr>
          <w:noProof/>
        </w:rPr>
        <w:t xml:space="preserve">Wu J, Sinfield JL, Buchanan-Wollaston V, Feng J. 2009. Impact of environmental inputs on reverse-engineering approach to network structures. </w:t>
      </w:r>
      <w:r w:rsidRPr="00386113">
        <w:rPr>
          <w:i/>
          <w:iCs/>
          <w:noProof/>
        </w:rPr>
        <w:t>BMC systems biology</w:t>
      </w:r>
      <w:r w:rsidRPr="00386113">
        <w:rPr>
          <w:noProof/>
        </w:rPr>
        <w:t xml:space="preserve"> 3:113.</w:t>
      </w:r>
    </w:p>
    <w:p w14:paraId="59D3F7E7" w14:textId="77777777" w:rsidR="00103C65" w:rsidRPr="00947D91" w:rsidRDefault="00103C65" w:rsidP="008C30B0">
      <w:pPr>
        <w:pStyle w:val="NormalWeb"/>
        <w:ind w:left="480" w:hanging="480"/>
      </w:pPr>
      <w:r w:rsidRPr="006E707C">
        <w:fldChar w:fldCharType="end"/>
      </w:r>
    </w:p>
    <w:p w14:paraId="33DA518E" w14:textId="77777777" w:rsidR="00745502" w:rsidRDefault="00745502" w:rsidP="008C30B0"/>
    <w:sectPr w:rsidR="00745502" w:rsidSect="00B96579">
      <w:footerReference w:type="even" r:id="rId11"/>
      <w:footerReference w:type="default" r:id="rId12"/>
      <w:footnotePr>
        <w:numFmt w:val="chicago"/>
      </w:footnotePr>
      <w:pgSz w:w="12240" w:h="15840"/>
      <w:pgMar w:top="1440" w:right="1800" w:bottom="1440" w:left="1800" w:header="720" w:footer="720" w:gutter="0"/>
      <w:lnNumType w:countBy="1" w:restart="continuous"/>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B28CE" w14:textId="77777777" w:rsidR="007D7229" w:rsidRDefault="007D7229" w:rsidP="00103C65">
      <w:pPr>
        <w:spacing w:after="0"/>
      </w:pPr>
      <w:r>
        <w:separator/>
      </w:r>
    </w:p>
  </w:endnote>
  <w:endnote w:type="continuationSeparator" w:id="0">
    <w:p w14:paraId="2C12E391" w14:textId="77777777" w:rsidR="007D7229" w:rsidRDefault="007D7229" w:rsidP="00103C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Light">
    <w:panose1 w:val="020B0403020202020204"/>
    <w:charset w:val="00"/>
    <w:family w:val="auto"/>
    <w:pitch w:val="variable"/>
    <w:sig w:usb0="800000AF" w:usb1="4000204A" w:usb2="00000000" w:usb3="00000000" w:csb0="00000001" w:csb1="00000000"/>
  </w:font>
  <w:font w:name="Symbol">
    <w:panose1 w:val="00000000000000000000"/>
    <w:charset w:val="02"/>
    <w:family w:val="auto"/>
    <w:pitch w:val="variable"/>
    <w:sig w:usb0="00000000" w:usb1="10000000" w:usb2="00000000" w:usb3="00000000" w:csb0="80000000" w:csb1="00000000"/>
  </w:font>
  <w:font w:name="PT Serif">
    <w:panose1 w:val="020A0603040505020204"/>
    <w:charset w:val="00"/>
    <w:family w:val="auto"/>
    <w:pitch w:val="variable"/>
    <w:sig w:usb0="A00002EF" w:usb1="5000204B" w:usb2="00000000" w:usb3="00000000" w:csb0="00000097"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B527E" w14:textId="77777777" w:rsidR="00B96579" w:rsidRDefault="00B96579" w:rsidP="00F15F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AEA20C" w14:textId="77777777" w:rsidR="00B96579" w:rsidRDefault="00B96579" w:rsidP="00B965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078E8" w14:textId="77777777" w:rsidR="00B96579" w:rsidRDefault="00B96579" w:rsidP="00F15F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6A4A">
      <w:rPr>
        <w:rStyle w:val="PageNumber"/>
        <w:noProof/>
      </w:rPr>
      <w:t>15</w:t>
    </w:r>
    <w:r>
      <w:rPr>
        <w:rStyle w:val="PageNumber"/>
      </w:rPr>
      <w:fldChar w:fldCharType="end"/>
    </w:r>
  </w:p>
  <w:p w14:paraId="27468A9D" w14:textId="77777777" w:rsidR="00B96579" w:rsidRDefault="00B96579" w:rsidP="00B965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F1B70" w14:textId="77777777" w:rsidR="007D7229" w:rsidRDefault="007D7229" w:rsidP="00103C65">
      <w:pPr>
        <w:spacing w:after="0"/>
      </w:pPr>
      <w:r>
        <w:separator/>
      </w:r>
    </w:p>
  </w:footnote>
  <w:footnote w:type="continuationSeparator" w:id="0">
    <w:p w14:paraId="7F8D4421" w14:textId="77777777" w:rsidR="007D7229" w:rsidRDefault="007D7229" w:rsidP="00103C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65"/>
    <w:rsid w:val="00016FB0"/>
    <w:rsid w:val="000E607A"/>
    <w:rsid w:val="00103C65"/>
    <w:rsid w:val="00126585"/>
    <w:rsid w:val="0013653E"/>
    <w:rsid w:val="00206A4A"/>
    <w:rsid w:val="0026742E"/>
    <w:rsid w:val="005D5757"/>
    <w:rsid w:val="00624E32"/>
    <w:rsid w:val="00674A15"/>
    <w:rsid w:val="00745502"/>
    <w:rsid w:val="007D1904"/>
    <w:rsid w:val="007D7229"/>
    <w:rsid w:val="008537CC"/>
    <w:rsid w:val="00861597"/>
    <w:rsid w:val="00871F10"/>
    <w:rsid w:val="008C30B0"/>
    <w:rsid w:val="009C2A10"/>
    <w:rsid w:val="009D7BD2"/>
    <w:rsid w:val="00B0776E"/>
    <w:rsid w:val="00B96579"/>
    <w:rsid w:val="00C634C8"/>
    <w:rsid w:val="00C95FAD"/>
    <w:rsid w:val="00CD40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FC4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65"/>
    <w:rPr>
      <w:sz w:val="24"/>
      <w:szCs w:val="24"/>
    </w:rPr>
  </w:style>
  <w:style w:type="paragraph" w:styleId="Heading1">
    <w:name w:val="heading 1"/>
    <w:basedOn w:val="Normal"/>
    <w:next w:val="Normal"/>
    <w:link w:val="Heading1Char"/>
    <w:qFormat/>
    <w:rsid w:val="00103C6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3C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C65"/>
    <w:rPr>
      <w:rFonts w:asciiTheme="majorHAnsi" w:eastAsiaTheme="majorEastAsia" w:hAnsiTheme="majorHAnsi" w:cstheme="majorBidi"/>
      <w:b/>
      <w:bCs/>
      <w:color w:val="345A8A" w:themeColor="accent1" w:themeShade="B5"/>
      <w:sz w:val="32"/>
      <w:szCs w:val="32"/>
    </w:rPr>
  </w:style>
  <w:style w:type="paragraph" w:customStyle="1" w:styleId="Authorname">
    <w:name w:val="Author name"/>
    <w:rsid w:val="00103C65"/>
    <w:pPr>
      <w:spacing w:before="70" w:after="0" w:line="300" w:lineRule="exact"/>
    </w:pPr>
    <w:rPr>
      <w:rFonts w:ascii="Helvetica-Light" w:eastAsia="Times New Roman" w:hAnsi="Helvetica-Light" w:cs="Times New Roman"/>
      <w:iCs/>
      <w:sz w:val="26"/>
      <w:szCs w:val="24"/>
      <w:lang w:eastAsia="en-US"/>
    </w:rPr>
  </w:style>
  <w:style w:type="paragraph" w:customStyle="1" w:styleId="Affilation">
    <w:name w:val="Affilation"/>
    <w:basedOn w:val="Authorname"/>
    <w:rsid w:val="00103C65"/>
    <w:pPr>
      <w:spacing w:before="40" w:after="52" w:line="240" w:lineRule="exact"/>
    </w:pPr>
    <w:rPr>
      <w:sz w:val="20"/>
    </w:rPr>
  </w:style>
  <w:style w:type="paragraph" w:styleId="FootnoteText">
    <w:name w:val="footnote text"/>
    <w:basedOn w:val="Normal"/>
    <w:link w:val="FootnoteTextChar"/>
    <w:semiHidden/>
    <w:rsid w:val="00103C65"/>
    <w:pPr>
      <w:spacing w:before="20" w:line="200" w:lineRule="exact"/>
    </w:pPr>
    <w:rPr>
      <w:rFonts w:ascii="Times New Roman" w:hAnsi="Times New Roman"/>
      <w:sz w:val="16"/>
      <w:szCs w:val="20"/>
    </w:rPr>
  </w:style>
  <w:style w:type="character" w:customStyle="1" w:styleId="FootnoteTextChar">
    <w:name w:val="Footnote Text Char"/>
    <w:basedOn w:val="DefaultParagraphFont"/>
    <w:link w:val="FootnoteText"/>
    <w:semiHidden/>
    <w:rsid w:val="00103C65"/>
    <w:rPr>
      <w:rFonts w:ascii="Times New Roman" w:hAnsi="Times New Roman"/>
      <w:sz w:val="16"/>
    </w:rPr>
  </w:style>
  <w:style w:type="paragraph" w:customStyle="1" w:styleId="ParaNoInd">
    <w:name w:val="ParaNoInd"/>
    <w:basedOn w:val="Normal"/>
    <w:rsid w:val="00103C65"/>
    <w:pPr>
      <w:spacing w:line="220" w:lineRule="exact"/>
      <w:jc w:val="both"/>
    </w:pPr>
    <w:rPr>
      <w:rFonts w:ascii="Times New Roman" w:hAnsi="Times New Roman"/>
      <w:sz w:val="18"/>
      <w:szCs w:val="20"/>
    </w:rPr>
  </w:style>
  <w:style w:type="character" w:styleId="FootnoteReference">
    <w:name w:val="footnote reference"/>
    <w:basedOn w:val="DefaultParagraphFont"/>
    <w:semiHidden/>
    <w:rsid w:val="00103C65"/>
    <w:rPr>
      <w:vertAlign w:val="superscript"/>
    </w:rPr>
  </w:style>
  <w:style w:type="paragraph" w:customStyle="1" w:styleId="AckText">
    <w:name w:val="Ack Text"/>
    <w:basedOn w:val="ParaNoInd"/>
    <w:rsid w:val="00103C65"/>
  </w:style>
  <w:style w:type="paragraph" w:customStyle="1" w:styleId="RefHead">
    <w:name w:val="Ref Head"/>
    <w:basedOn w:val="Normal"/>
    <w:rsid w:val="00103C65"/>
    <w:pPr>
      <w:spacing w:before="226" w:after="50"/>
      <w:outlineLvl w:val="0"/>
    </w:pPr>
    <w:rPr>
      <w:rFonts w:ascii="Helvetica" w:hAnsi="Helvetica"/>
      <w:b/>
      <w:caps/>
      <w:szCs w:val="20"/>
    </w:rPr>
  </w:style>
  <w:style w:type="paragraph" w:customStyle="1" w:styleId="ParaNoInd0">
    <w:name w:val="&lt;ParaNoInd&gt;"/>
    <w:basedOn w:val="ParaNoInd"/>
    <w:rsid w:val="00103C65"/>
    <w:pPr>
      <w:spacing w:line="200" w:lineRule="exact"/>
    </w:pPr>
    <w:rPr>
      <w:sz w:val="16"/>
    </w:rPr>
  </w:style>
  <w:style w:type="paragraph" w:styleId="NormalWeb">
    <w:name w:val="Normal (Web)"/>
    <w:basedOn w:val="Normal"/>
    <w:uiPriority w:val="99"/>
    <w:rsid w:val="00103C65"/>
    <w:rPr>
      <w:rFonts w:ascii="Times New Roman" w:hAnsi="Times New Roman"/>
    </w:rPr>
  </w:style>
  <w:style w:type="character" w:styleId="Hyperlink">
    <w:name w:val="Hyperlink"/>
    <w:basedOn w:val="DefaultParagraphFont"/>
    <w:uiPriority w:val="99"/>
    <w:unhideWhenUsed/>
    <w:rsid w:val="00103C65"/>
    <w:rPr>
      <w:color w:val="0000FF" w:themeColor="hyperlink"/>
      <w:u w:val="single"/>
    </w:rPr>
  </w:style>
  <w:style w:type="character" w:styleId="LineNumber">
    <w:name w:val="line number"/>
    <w:basedOn w:val="DefaultParagraphFont"/>
    <w:uiPriority w:val="99"/>
    <w:semiHidden/>
    <w:unhideWhenUsed/>
    <w:rsid w:val="00103C65"/>
  </w:style>
  <w:style w:type="paragraph" w:styleId="BalloonText">
    <w:name w:val="Balloon Text"/>
    <w:basedOn w:val="Normal"/>
    <w:link w:val="BalloonTextChar"/>
    <w:uiPriority w:val="99"/>
    <w:semiHidden/>
    <w:unhideWhenUsed/>
    <w:rsid w:val="00103C6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3C65"/>
    <w:rPr>
      <w:rFonts w:ascii="Lucida Grande" w:hAnsi="Lucida Grande" w:cs="Lucida Grande"/>
      <w:sz w:val="18"/>
      <w:szCs w:val="18"/>
    </w:rPr>
  </w:style>
  <w:style w:type="character" w:customStyle="1" w:styleId="Heading2Char">
    <w:name w:val="Heading 2 Char"/>
    <w:basedOn w:val="DefaultParagraphFont"/>
    <w:link w:val="Heading2"/>
    <w:uiPriority w:val="9"/>
    <w:rsid w:val="00103C6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96579"/>
    <w:pPr>
      <w:tabs>
        <w:tab w:val="center" w:pos="4320"/>
        <w:tab w:val="right" w:pos="8640"/>
      </w:tabs>
      <w:spacing w:after="0"/>
    </w:pPr>
  </w:style>
  <w:style w:type="character" w:customStyle="1" w:styleId="FooterChar">
    <w:name w:val="Footer Char"/>
    <w:basedOn w:val="DefaultParagraphFont"/>
    <w:link w:val="Footer"/>
    <w:uiPriority w:val="99"/>
    <w:rsid w:val="00B96579"/>
    <w:rPr>
      <w:sz w:val="24"/>
      <w:szCs w:val="24"/>
    </w:rPr>
  </w:style>
  <w:style w:type="character" w:styleId="PageNumber">
    <w:name w:val="page number"/>
    <w:basedOn w:val="DefaultParagraphFont"/>
    <w:uiPriority w:val="99"/>
    <w:semiHidden/>
    <w:unhideWhenUsed/>
    <w:rsid w:val="00B965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65"/>
    <w:rPr>
      <w:sz w:val="24"/>
      <w:szCs w:val="24"/>
    </w:rPr>
  </w:style>
  <w:style w:type="paragraph" w:styleId="Heading1">
    <w:name w:val="heading 1"/>
    <w:basedOn w:val="Normal"/>
    <w:next w:val="Normal"/>
    <w:link w:val="Heading1Char"/>
    <w:qFormat/>
    <w:rsid w:val="00103C6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3C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C65"/>
    <w:rPr>
      <w:rFonts w:asciiTheme="majorHAnsi" w:eastAsiaTheme="majorEastAsia" w:hAnsiTheme="majorHAnsi" w:cstheme="majorBidi"/>
      <w:b/>
      <w:bCs/>
      <w:color w:val="345A8A" w:themeColor="accent1" w:themeShade="B5"/>
      <w:sz w:val="32"/>
      <w:szCs w:val="32"/>
    </w:rPr>
  </w:style>
  <w:style w:type="paragraph" w:customStyle="1" w:styleId="Authorname">
    <w:name w:val="Author name"/>
    <w:rsid w:val="00103C65"/>
    <w:pPr>
      <w:spacing w:before="70" w:after="0" w:line="300" w:lineRule="exact"/>
    </w:pPr>
    <w:rPr>
      <w:rFonts w:ascii="Helvetica-Light" w:eastAsia="Times New Roman" w:hAnsi="Helvetica-Light" w:cs="Times New Roman"/>
      <w:iCs/>
      <w:sz w:val="26"/>
      <w:szCs w:val="24"/>
      <w:lang w:eastAsia="en-US"/>
    </w:rPr>
  </w:style>
  <w:style w:type="paragraph" w:customStyle="1" w:styleId="Affilation">
    <w:name w:val="Affilation"/>
    <w:basedOn w:val="Authorname"/>
    <w:rsid w:val="00103C65"/>
    <w:pPr>
      <w:spacing w:before="40" w:after="52" w:line="240" w:lineRule="exact"/>
    </w:pPr>
    <w:rPr>
      <w:sz w:val="20"/>
    </w:rPr>
  </w:style>
  <w:style w:type="paragraph" w:styleId="FootnoteText">
    <w:name w:val="footnote text"/>
    <w:basedOn w:val="Normal"/>
    <w:link w:val="FootnoteTextChar"/>
    <w:semiHidden/>
    <w:rsid w:val="00103C65"/>
    <w:pPr>
      <w:spacing w:before="20" w:line="200" w:lineRule="exact"/>
    </w:pPr>
    <w:rPr>
      <w:rFonts w:ascii="Times New Roman" w:hAnsi="Times New Roman"/>
      <w:sz w:val="16"/>
      <w:szCs w:val="20"/>
    </w:rPr>
  </w:style>
  <w:style w:type="character" w:customStyle="1" w:styleId="FootnoteTextChar">
    <w:name w:val="Footnote Text Char"/>
    <w:basedOn w:val="DefaultParagraphFont"/>
    <w:link w:val="FootnoteText"/>
    <w:semiHidden/>
    <w:rsid w:val="00103C65"/>
    <w:rPr>
      <w:rFonts w:ascii="Times New Roman" w:hAnsi="Times New Roman"/>
      <w:sz w:val="16"/>
    </w:rPr>
  </w:style>
  <w:style w:type="paragraph" w:customStyle="1" w:styleId="ParaNoInd">
    <w:name w:val="ParaNoInd"/>
    <w:basedOn w:val="Normal"/>
    <w:rsid w:val="00103C65"/>
    <w:pPr>
      <w:spacing w:line="220" w:lineRule="exact"/>
      <w:jc w:val="both"/>
    </w:pPr>
    <w:rPr>
      <w:rFonts w:ascii="Times New Roman" w:hAnsi="Times New Roman"/>
      <w:sz w:val="18"/>
      <w:szCs w:val="20"/>
    </w:rPr>
  </w:style>
  <w:style w:type="character" w:styleId="FootnoteReference">
    <w:name w:val="footnote reference"/>
    <w:basedOn w:val="DefaultParagraphFont"/>
    <w:semiHidden/>
    <w:rsid w:val="00103C65"/>
    <w:rPr>
      <w:vertAlign w:val="superscript"/>
    </w:rPr>
  </w:style>
  <w:style w:type="paragraph" w:customStyle="1" w:styleId="AckText">
    <w:name w:val="Ack Text"/>
    <w:basedOn w:val="ParaNoInd"/>
    <w:rsid w:val="00103C65"/>
  </w:style>
  <w:style w:type="paragraph" w:customStyle="1" w:styleId="RefHead">
    <w:name w:val="Ref Head"/>
    <w:basedOn w:val="Normal"/>
    <w:rsid w:val="00103C65"/>
    <w:pPr>
      <w:spacing w:before="226" w:after="50"/>
      <w:outlineLvl w:val="0"/>
    </w:pPr>
    <w:rPr>
      <w:rFonts w:ascii="Helvetica" w:hAnsi="Helvetica"/>
      <w:b/>
      <w:caps/>
      <w:szCs w:val="20"/>
    </w:rPr>
  </w:style>
  <w:style w:type="paragraph" w:customStyle="1" w:styleId="ParaNoInd0">
    <w:name w:val="&lt;ParaNoInd&gt;"/>
    <w:basedOn w:val="ParaNoInd"/>
    <w:rsid w:val="00103C65"/>
    <w:pPr>
      <w:spacing w:line="200" w:lineRule="exact"/>
    </w:pPr>
    <w:rPr>
      <w:sz w:val="16"/>
    </w:rPr>
  </w:style>
  <w:style w:type="paragraph" w:styleId="NormalWeb">
    <w:name w:val="Normal (Web)"/>
    <w:basedOn w:val="Normal"/>
    <w:uiPriority w:val="99"/>
    <w:rsid w:val="00103C65"/>
    <w:rPr>
      <w:rFonts w:ascii="Times New Roman" w:hAnsi="Times New Roman"/>
    </w:rPr>
  </w:style>
  <w:style w:type="character" w:styleId="Hyperlink">
    <w:name w:val="Hyperlink"/>
    <w:basedOn w:val="DefaultParagraphFont"/>
    <w:uiPriority w:val="99"/>
    <w:unhideWhenUsed/>
    <w:rsid w:val="00103C65"/>
    <w:rPr>
      <w:color w:val="0000FF" w:themeColor="hyperlink"/>
      <w:u w:val="single"/>
    </w:rPr>
  </w:style>
  <w:style w:type="character" w:styleId="LineNumber">
    <w:name w:val="line number"/>
    <w:basedOn w:val="DefaultParagraphFont"/>
    <w:uiPriority w:val="99"/>
    <w:semiHidden/>
    <w:unhideWhenUsed/>
    <w:rsid w:val="00103C65"/>
  </w:style>
  <w:style w:type="paragraph" w:styleId="BalloonText">
    <w:name w:val="Balloon Text"/>
    <w:basedOn w:val="Normal"/>
    <w:link w:val="BalloonTextChar"/>
    <w:uiPriority w:val="99"/>
    <w:semiHidden/>
    <w:unhideWhenUsed/>
    <w:rsid w:val="00103C6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3C65"/>
    <w:rPr>
      <w:rFonts w:ascii="Lucida Grande" w:hAnsi="Lucida Grande" w:cs="Lucida Grande"/>
      <w:sz w:val="18"/>
      <w:szCs w:val="18"/>
    </w:rPr>
  </w:style>
  <w:style w:type="character" w:customStyle="1" w:styleId="Heading2Char">
    <w:name w:val="Heading 2 Char"/>
    <w:basedOn w:val="DefaultParagraphFont"/>
    <w:link w:val="Heading2"/>
    <w:uiPriority w:val="9"/>
    <w:rsid w:val="00103C6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96579"/>
    <w:pPr>
      <w:tabs>
        <w:tab w:val="center" w:pos="4320"/>
        <w:tab w:val="right" w:pos="8640"/>
      </w:tabs>
      <w:spacing w:after="0"/>
    </w:pPr>
  </w:style>
  <w:style w:type="character" w:customStyle="1" w:styleId="FooterChar">
    <w:name w:val="Footer Char"/>
    <w:basedOn w:val="DefaultParagraphFont"/>
    <w:link w:val="Footer"/>
    <w:uiPriority w:val="99"/>
    <w:rsid w:val="00B96579"/>
    <w:rPr>
      <w:sz w:val="24"/>
      <w:szCs w:val="24"/>
    </w:rPr>
  </w:style>
  <w:style w:type="character" w:styleId="PageNumber">
    <w:name w:val="page number"/>
    <w:basedOn w:val="DefaultParagraphFont"/>
    <w:uiPriority w:val="99"/>
    <w:semiHidden/>
    <w:unhideWhenUsed/>
    <w:rsid w:val="00B96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yrusmaher@gmail.com" TargetMode="External"/><Relationship Id="rId8" Type="http://schemas.openxmlformats.org/officeDocument/2006/relationships/hyperlink" Target="http://cyrusmaher.github.io/CauseMap.jl" TargetMode="Externa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10411</Words>
  <Characters>59349</Characters>
  <Application>Microsoft Macintosh Word</Application>
  <DocSecurity>0</DocSecurity>
  <Lines>494</Lines>
  <Paragraphs>139</Paragraphs>
  <ScaleCrop>false</ScaleCrop>
  <Company/>
  <LinksUpToDate>false</LinksUpToDate>
  <CharactersWithSpaces>69621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Maher</dc:creator>
  <cp:keywords/>
  <dc:description/>
  <cp:lastModifiedBy>Cyrus Maher</cp:lastModifiedBy>
  <cp:revision>12</cp:revision>
  <dcterms:created xsi:type="dcterms:W3CDTF">2014-10-28T22:43:00Z</dcterms:created>
  <dcterms:modified xsi:type="dcterms:W3CDTF">2014-10-31T23:39:00Z</dcterms:modified>
</cp:coreProperties>
</file>